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  <Override PartName="/word/media/rId24.gif" ContentType="image/gif"/>
  <Override PartName="/word/media/rId25.png" ContentType="image/png"/>
  <Override PartName="/word/media/rId27.png" ContentType="image/png"/>
  <Override PartName="/word/media/rId29.png" ContentType="image/png"/>
  <Override PartName="/word/media/rId31.png" ContentType="image/png"/>
  <Override PartName="/word/media/rId40.png" ContentType="image/png"/>
  <Override PartName="/word/media/rId41.png" ContentType="image/png"/>
  <Override PartName="/word/media/rId42.png" ContentType="image/png"/>
  <Override PartName="/word/media/rId43.png" ContentType="image/png"/>
  <Override PartName="/word/media/rId45.png" ContentType="image/png"/>
  <Override PartName="/word/media/rId46.png" ContentType="image/png"/>
  <Override PartName="/word/media/rId47.png" ContentType="image/png"/>
  <Override PartName="/word/media/rId49.png" ContentType="image/png"/>
  <Override PartName="/word/media/rId51.png" ContentType="image/png"/>
  <Override PartName="/word/media/rId52.png" ContentType="image/png"/>
  <Override PartName="/word/media/rId55.png" ContentType="image/png"/>
  <Override PartName="/word/media/rId57.png" ContentType="image/png"/>
  <Override PartName="/word/media/rId59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управление-аккаунтами"/>
      <w:r>
        <w:t xml:space="preserve">Управление аккаунтами</w:t>
      </w:r>
      <w:bookmarkEnd w:id="20"/>
    </w:p>
    <w:p>
      <w:pPr>
        <w:pStyle w:val="FirstParagraph"/>
      </w:pPr>
      <w:r>
        <w:t xml:space="preserve">При новой развернутой платформе MyBPM необходимо зайти в</w:t>
      </w:r>
      <w:r>
        <w:t xml:space="preserve"> </w:t>
      </w:r>
      <w:r>
        <w:t xml:space="preserve">root-кабинет. Логин и пароль для первого входа в новую систему</w:t>
      </w:r>
      <w:r>
        <w:t xml:space="preserve"> </w:t>
      </w:r>
      <w:r>
        <w:t xml:space="preserve">получают у разработчика развернувшего платформу MyBPM на вашем</w:t>
      </w:r>
      <w:r>
        <w:t xml:space="preserve"> </w:t>
      </w:r>
      <w:r>
        <w:t xml:space="preserve">сервере. В root-кабинете есть системные бизнес-объекты:</w:t>
      </w:r>
      <w:r>
        <w:t xml:space="preserve"> </w:t>
      </w:r>
      <w:r>
        <w:t xml:space="preserve">пользователи, аккаунты, департаменты, рабочие группы.</w:t>
      </w:r>
    </w:p>
    <w:p>
      <w:pPr>
        <w:pStyle w:val="BodyText"/>
      </w:pPr>
      <w:r>
        <w:t xml:space="preserve">Аккаунт - это доступ пользователя-суперадмина для изолированной</w:t>
      </w:r>
      <w:r>
        <w:t xml:space="preserve"> </w:t>
      </w:r>
      <w:r>
        <w:t xml:space="preserve">среды платформы его компании. Только в root-кабинете есть</w:t>
      </w:r>
      <w:r>
        <w:t xml:space="preserve"> </w:t>
      </w:r>
      <w:r>
        <w:t xml:space="preserve">возможность создавать аккаунты и управлять ими.</w:t>
      </w:r>
    </w:p>
    <w:p>
      <w:pPr>
        <w:pStyle w:val="Heading2"/>
      </w:pPr>
      <w:bookmarkStart w:id="21" w:name="добавление-нового-аккаунта"/>
      <w:r>
        <w:t xml:space="preserve">Добавление нового аккаунта</w:t>
      </w:r>
      <w:bookmarkEnd w:id="21"/>
    </w:p>
    <w:p>
      <w:pPr>
        <w:pStyle w:val="FirstParagraph"/>
      </w:pPr>
      <w:r>
        <w:t xml:space="preserve">Для добавления нового аккаунта, необходимо зайти во вкладку</w:t>
      </w:r>
      <w:r>
        <w:t xml:space="preserve"> </w:t>
      </w:r>
      <w:r>
        <w:t xml:space="preserve">“Бизнес”, там будет список системных бизнес-объектов. В</w:t>
      </w:r>
      <w:r>
        <w:t xml:space="preserve"> </w:t>
      </w:r>
      <w:r>
        <w:t xml:space="preserve">бизнес-объекте “Аккаунт” в реестре необходимо создать новый</w:t>
      </w:r>
      <w:r>
        <w:t xml:space="preserve"> </w:t>
      </w:r>
      <w:r>
        <w:t xml:space="preserve">экземпляр.</w:t>
      </w:r>
    </w:p>
    <w:p>
      <w:pPr>
        <w:pStyle w:val="Compact"/>
        <w:numPr>
          <w:numId w:val="1001"/>
          <w:ilvl w:val="0"/>
        </w:numPr>
      </w:pPr>
      <w:r>
        <w:t xml:space="preserve">Наименование - название компании,</w:t>
      </w:r>
    </w:p>
    <w:p>
      <w:pPr>
        <w:pStyle w:val="Compact"/>
        <w:numPr>
          <w:numId w:val="1001"/>
          <w:ilvl w:val="0"/>
        </w:numPr>
      </w:pPr>
      <w:r>
        <w:t xml:space="preserve">Код - короткий уникальный идентификатор,</w:t>
      </w:r>
    </w:p>
    <w:p>
      <w:pPr>
        <w:pStyle w:val="Compact"/>
        <w:numPr>
          <w:numId w:val="1001"/>
          <w:ilvl w:val="0"/>
        </w:numPr>
      </w:pPr>
      <w:r>
        <w:t xml:space="preserve">Почта админа - email пользователя, куда будет отправлена ссылка</w:t>
      </w:r>
      <w:r>
        <w:t xml:space="preserve"> </w:t>
      </w:r>
      <w:r>
        <w:t xml:space="preserve">для регистрации,</w:t>
      </w:r>
    </w:p>
    <w:p>
      <w:pPr>
        <w:pStyle w:val="Compact"/>
        <w:numPr>
          <w:numId w:val="1001"/>
          <w:ilvl w:val="0"/>
        </w:numPr>
      </w:pPr>
      <w:r>
        <w:t xml:space="preserve">Ссылка - копирование структуры с существующего аккаунта,</w:t>
      </w:r>
    </w:p>
    <w:p>
      <w:pPr>
        <w:pStyle w:val="Compact"/>
        <w:numPr>
          <w:numId w:val="1001"/>
          <w:ilvl w:val="0"/>
        </w:numPr>
      </w:pPr>
      <w:r>
        <w:t xml:space="preserve">Роль пользователя компании - роль пользователя в системе,</w:t>
      </w:r>
    </w:p>
    <w:p>
      <w:pPr>
        <w:pStyle w:val="Compact"/>
        <w:numPr>
          <w:numId w:val="1001"/>
          <w:ilvl w:val="0"/>
        </w:numPr>
      </w:pPr>
      <w:r>
        <w:t xml:space="preserve">Активный - выбор активности данной компании.</w:t>
      </w:r>
    </w:p>
    <w:p>
      <w:pPr>
        <w:pStyle w:val="FirstParagraph"/>
      </w:pPr>
      <w:r>
        <w:drawing>
          <wp:inline>
            <wp:extent cx="5334000" cy="410201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020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сохранения созданного аккаунта, на указанный email</w:t>
      </w:r>
      <w:r>
        <w:t xml:space="preserve"> </w:t>
      </w:r>
      <w:r>
        <w:t xml:space="preserve">пользователю падает ссылка для регистрации. Необходимо пройти по</w:t>
      </w:r>
      <w:r>
        <w:t xml:space="preserve"> </w:t>
      </w:r>
      <w:r>
        <w:t xml:space="preserve">ссылке. Создайте пароль больше восьми чисел.</w:t>
      </w:r>
    </w:p>
    <w:p>
      <w:pPr>
        <w:pStyle w:val="Heading1"/>
      </w:pPr>
      <w:bookmarkStart w:id="23" w:name="пользователи-системы"/>
      <w:r>
        <w:t xml:space="preserve">Пользователи системы</w:t>
      </w:r>
      <w:bookmarkEnd w:id="23"/>
    </w:p>
    <w:p>
      <w:pPr>
        <w:pStyle w:val="FirstParagraph"/>
      </w:pPr>
      <w:r>
        <w:t xml:space="preserve">Это список пользователей данной компании, они могут пользоваться</w:t>
      </w:r>
      <w:r>
        <w:t xml:space="preserve"> </w:t>
      </w:r>
      <w:r>
        <w:t xml:space="preserve">данным аккаунтом компании.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99369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93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6" w:name="департамент"/>
      <w:r>
        <w:t xml:space="preserve">Департамент</w:t>
      </w:r>
      <w:bookmarkEnd w:id="26"/>
    </w:p>
    <w:p>
      <w:pPr>
        <w:pStyle w:val="FirstParagraph"/>
      </w:pPr>
      <w:r>
        <w:t xml:space="preserve">Отражает объединение пользователей как структурной единицы</w:t>
      </w:r>
      <w:r>
        <w:t xml:space="preserve"> </w:t>
      </w:r>
      <w:r>
        <w:t xml:space="preserve">компании. У пользователя может быть один департамент.</w:t>
      </w:r>
    </w:p>
    <w:p>
      <w:pPr>
        <w:pStyle w:val="BodyText"/>
      </w:pPr>
      <w:r>
        <w:t xml:space="preserve">Департамент может быть древовидным и включать дочерние</w:t>
      </w:r>
      <w:r>
        <w:t xml:space="preserve"> </w:t>
      </w:r>
      <w:r>
        <w:t xml:space="preserve">департаменты. В департаменте можно указать руководителя.</w:t>
      </w:r>
    </w:p>
    <w:p>
      <w:pPr>
        <w:pStyle w:val="BodyText"/>
      </w:pPr>
      <w:r>
        <w:t xml:space="preserve">Поля БО включают:</w:t>
      </w:r>
    </w:p>
    <w:p>
      <w:pPr>
        <w:pStyle w:val="Compact"/>
        <w:numPr>
          <w:numId w:val="1002"/>
          <w:ilvl w:val="0"/>
        </w:numPr>
      </w:pPr>
      <w:r>
        <w:t xml:space="preserve">Имя - название департамента, обязательное поле.</w:t>
      </w:r>
    </w:p>
    <w:p>
      <w:pPr>
        <w:pStyle w:val="Compact"/>
        <w:numPr>
          <w:numId w:val="1002"/>
          <w:ilvl w:val="0"/>
        </w:numPr>
      </w:pPr>
      <w:r>
        <w:t xml:space="preserve">Руководитель - пользователь, закрепленный за данным</w:t>
      </w:r>
      <w:r>
        <w:t xml:space="preserve"> </w:t>
      </w:r>
      <w:r>
        <w:t xml:space="preserve">департаментом, имеет возможность на отдельные настройки прав</w:t>
      </w:r>
      <w:r>
        <w:t xml:space="preserve"> </w:t>
      </w:r>
      <w:r>
        <w:t xml:space="preserve">доступа к системе.</w:t>
      </w:r>
    </w:p>
    <w:p>
      <w:pPr>
        <w:pStyle w:val="Compact"/>
        <w:numPr>
          <w:numId w:val="1002"/>
          <w:ilvl w:val="0"/>
        </w:numPr>
      </w:pPr>
      <w:r>
        <w:t xml:space="preserve">Родительское подразделение - указанный в древовидной системе</w:t>
      </w:r>
      <w:r>
        <w:t xml:space="preserve"> </w:t>
      </w:r>
      <w:r>
        <w:t xml:space="preserve">департамент уровнем выше.</w:t>
      </w:r>
    </w:p>
    <w:p>
      <w:pPr>
        <w:pStyle w:val="Compact"/>
        <w:numPr>
          <w:numId w:val="1002"/>
          <w:ilvl w:val="0"/>
        </w:numPr>
      </w:pPr>
      <w:r>
        <w:t xml:space="preserve">Пользователи - включенный множественный список пользователей из</w:t>
      </w:r>
      <w:r>
        <w:t xml:space="preserve"> </w:t>
      </w:r>
      <w:r>
        <w:t xml:space="preserve">БО “Пользователи”, имеет взаимосвязь с БО пользователи.</w:t>
      </w:r>
    </w:p>
    <w:p>
      <w:pPr>
        <w:pStyle w:val="FirstParagraph"/>
      </w:pPr>
      <w:r>
        <w:drawing>
          <wp:inline>
            <wp:extent cx="5334000" cy="229873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987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8" w:name="рабочие-группы"/>
      <w:r>
        <w:t xml:space="preserve">Рабочие группы</w:t>
      </w:r>
      <w:bookmarkEnd w:id="28"/>
    </w:p>
    <w:p>
      <w:pPr>
        <w:pStyle w:val="FirstParagraph"/>
      </w:pPr>
      <w:r>
        <w:t xml:space="preserve">Отражает объединение пользователей как группы. У пользователя</w:t>
      </w:r>
      <w:r>
        <w:t xml:space="preserve"> </w:t>
      </w:r>
      <w:r>
        <w:t xml:space="preserve">может быть несколько рабочих групп.</w:t>
      </w:r>
    </w:p>
    <w:p>
      <w:pPr>
        <w:pStyle w:val="BodyText"/>
      </w:pPr>
      <w:r>
        <w:t xml:space="preserve">Поля БО включают:</w:t>
      </w:r>
    </w:p>
    <w:p>
      <w:pPr>
        <w:pStyle w:val="Compact"/>
        <w:numPr>
          <w:numId w:val="1003"/>
          <w:ilvl w:val="0"/>
        </w:numPr>
      </w:pPr>
      <w:r>
        <w:t xml:space="preserve">Имя - название рабочей группы, обязательное поле.</w:t>
      </w:r>
    </w:p>
    <w:p>
      <w:pPr>
        <w:pStyle w:val="Compact"/>
        <w:numPr>
          <w:numId w:val="1003"/>
          <w:ilvl w:val="0"/>
        </w:numPr>
      </w:pPr>
      <w:r>
        <w:t xml:space="preserve">Руководитель - пользователь, закрепленный за данной рабочей</w:t>
      </w:r>
      <w:r>
        <w:t xml:space="preserve"> </w:t>
      </w:r>
      <w:r>
        <w:t xml:space="preserve">группы, имеет возможность на отдельные настройки прав доступа к</w:t>
      </w:r>
      <w:r>
        <w:t xml:space="preserve"> </w:t>
      </w:r>
      <w:r>
        <w:t xml:space="preserve">системе.</w:t>
      </w:r>
    </w:p>
    <w:p>
      <w:pPr>
        <w:pStyle w:val="Compact"/>
        <w:numPr>
          <w:numId w:val="1003"/>
          <w:ilvl w:val="0"/>
        </w:numPr>
      </w:pPr>
      <w:r>
        <w:t xml:space="preserve">Пользователи - включенный множественный список пользователей из</w:t>
      </w:r>
      <w:r>
        <w:t xml:space="preserve"> </w:t>
      </w:r>
      <w:r>
        <w:t xml:space="preserve">БО “Пользователи”, имеет взаимосвязь с БО пользователи.</w:t>
      </w:r>
    </w:p>
    <w:p>
      <w:pPr>
        <w:pStyle w:val="FirstParagraph"/>
      </w:pPr>
      <w:r>
        <w:drawing>
          <wp:inline>
            <wp:extent cx="5334000" cy="252544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254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0" w:name="версия-mybpm"/>
      <w:r>
        <w:t xml:space="preserve">Версия MyBPM</w:t>
      </w:r>
      <w:bookmarkEnd w:id="30"/>
    </w:p>
    <w:p>
      <w:pPr>
        <w:pStyle w:val="FirstParagraph"/>
      </w:pPr>
      <w:r>
        <w:t xml:space="preserve">В MyBPM происходят обновления системы, за актуальность системы</w:t>
      </w:r>
      <w:r>
        <w:t xml:space="preserve"> </w:t>
      </w:r>
      <w:r>
        <w:t xml:space="preserve">отвечают версии. Текущая версия MyBPM указана в левом нижнем углу.</w:t>
      </w:r>
      <w:r>
        <w:t xml:space="preserve"> </w:t>
      </w:r>
      <w:r>
        <w:t xml:space="preserve">Приставка S - означает версию сервера, приставка C - означает</w:t>
      </w:r>
      <w:r>
        <w:t xml:space="preserve"> </w:t>
      </w:r>
      <w:r>
        <w:t xml:space="preserve">версию интерфейса клиента.</w:t>
      </w:r>
    </w:p>
    <w:p>
      <w:pPr>
        <w:pStyle w:val="Compact"/>
      </w:pPr>
      <w:r>
        <w:drawing>
          <wp:inline>
            <wp:extent cx="939800" cy="660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2" w:name="конфигурации"/>
      <w:r>
        <w:t xml:space="preserve">Конфигурации</w:t>
      </w:r>
      <w:bookmarkEnd w:id="32"/>
    </w:p>
    <w:p>
      <w:pPr>
        <w:pStyle w:val="FirstParagraph"/>
      </w:pPr>
      <w:r>
        <w:t xml:space="preserve">Конфигурация — это набор заранее подготовленных бизнес-объектов</w:t>
      </w:r>
      <w:r>
        <w:t xml:space="preserve"> </w:t>
      </w:r>
      <w:r>
        <w:t xml:space="preserve">(</w:t>
      </w:r>
      <w:hyperlink r:id="rId33">
        <w:r>
          <w:rPr>
            <w:rStyle w:val="Hyperlink"/>
          </w:rPr>
          <w:t xml:space="preserve">Аналитика</w:t>
        </w:r>
      </w:hyperlink>
      <w:r>
        <w:t xml:space="preserve">,</w:t>
      </w:r>
      <w:r>
        <w:t xml:space="preserve"> </w:t>
      </w:r>
      <w:hyperlink r:id="rId34">
        <w:r>
          <w:rPr>
            <w:rStyle w:val="Hyperlink"/>
          </w:rPr>
          <w:t xml:space="preserve">Департамент</w:t>
        </w:r>
      </w:hyperlink>
      <w:r>
        <w:t xml:space="preserve">,</w:t>
      </w:r>
      <w:r>
        <w:t xml:space="preserve"> </w:t>
      </w:r>
      <w:hyperlink r:id="rId35">
        <w:r>
          <w:rPr>
            <w:rStyle w:val="Hyperlink"/>
          </w:rPr>
          <w:t xml:space="preserve">Пользователи</w:t>
        </w:r>
      </w:hyperlink>
      <w:r>
        <w:t xml:space="preserve">,</w:t>
      </w:r>
      <w:r>
        <w:t xml:space="preserve"> </w:t>
      </w:r>
      <w:hyperlink r:id="rId36">
        <w:r>
          <w:rPr>
            <w:rStyle w:val="Hyperlink"/>
          </w:rPr>
          <w:t xml:space="preserve">Компании</w:t>
        </w:r>
      </w:hyperlink>
      <w:r>
        <w:t xml:space="preserve">,</w:t>
      </w:r>
      <w:r>
        <w:t xml:space="preserve"> </w:t>
      </w:r>
      <w:hyperlink r:id="rId37">
        <w:r>
          <w:rPr>
            <w:rStyle w:val="Hyperlink"/>
          </w:rPr>
          <w:t xml:space="preserve">Рабочие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группы</w:t>
        </w:r>
      </w:hyperlink>
      <w:r>
        <w:t xml:space="preserve">).</w:t>
      </w:r>
    </w:p>
    <w:p>
      <w:pPr>
        <w:pStyle w:val="BodyText"/>
      </w:pPr>
      <w:r>
        <w:t xml:space="preserve">Установка готовой конфигурации позволяет сэкономить время на</w:t>
      </w:r>
      <w:r>
        <w:t xml:space="preserve"> </w:t>
      </w:r>
      <w:r>
        <w:t xml:space="preserve">ручное создание нужных бизнес-объектов. Все объекты, входящие в</w:t>
      </w:r>
      <w:r>
        <w:t xml:space="preserve"> </w:t>
      </w:r>
      <w:r>
        <w:t xml:space="preserve">конфигурацию, после установки можно редактировать, создавать записи</w:t>
      </w:r>
      <w:r>
        <w:t xml:space="preserve"> </w:t>
      </w:r>
      <w:r>
        <w:t xml:space="preserve">и т.п. - они ничем не отличаются по свойствам от объектов,</w:t>
      </w:r>
      <w:r>
        <w:t xml:space="preserve"> </w:t>
      </w:r>
      <w:r>
        <w:t xml:space="preserve">созданных вручную.</w:t>
      </w:r>
    </w:p>
    <w:p>
      <w:pPr>
        <w:pStyle w:val="Heading1"/>
      </w:pPr>
      <w:bookmarkStart w:id="38" w:name="скачивание-и-загрузка-структуры"/>
      <w:r>
        <w:t xml:space="preserve">Скачивание и загрузка структуры</w:t>
      </w:r>
      <w:bookmarkEnd w:id="38"/>
    </w:p>
    <w:p>
      <w:pPr>
        <w:pStyle w:val="FirstParagraph"/>
      </w:pPr>
      <w:r>
        <w:t xml:space="preserve">В системе настроена возможность скачивания структуры (все</w:t>
      </w:r>
      <w:r>
        <w:t xml:space="preserve"> </w:t>
      </w:r>
      <w:r>
        <w:t xml:space="preserve">бизнес-объекты, бизнес-процессы и т.д).</w:t>
      </w:r>
    </w:p>
    <w:p>
      <w:pPr>
        <w:pStyle w:val="Heading2"/>
      </w:pPr>
      <w:bookmarkStart w:id="39" w:name="скачивание-структуры"/>
      <w:r>
        <w:t xml:space="preserve">Скачивание структуры</w:t>
      </w:r>
      <w:bookmarkEnd w:id="39"/>
    </w:p>
    <w:p>
      <w:pPr>
        <w:pStyle w:val="Compact"/>
        <w:numPr>
          <w:numId w:val="1004"/>
          <w:ilvl w:val="0"/>
        </w:numPr>
      </w:pPr>
      <w:r>
        <w:t xml:space="preserve">Примечание. На данный момент при снятии дампа "Скрипты" не</w:t>
      </w:r>
      <w:r>
        <w:t xml:space="preserve"> </w:t>
      </w:r>
      <w:r>
        <w:t xml:space="preserve">скачиваются.</w:t>
      </w:r>
    </w:p>
    <w:p>
      <w:pPr>
        <w:pStyle w:val="FirstParagraph"/>
      </w:pPr>
      <w:r>
        <w:t xml:space="preserve">Для этого перейдите в режим администрирование:</w:t>
      </w:r>
    </w:p>
    <w:p>
      <w:pPr>
        <w:pStyle w:val="BodyText"/>
      </w:pPr>
      <w:r>
        <w:drawing>
          <wp:inline>
            <wp:extent cx="5334000" cy="111486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1148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открывшемся режиме, нажмите на логотип указанный на рисунке</w:t>
      </w:r>
      <w:r>
        <w:t xml:space="preserve"> </w:t>
      </w:r>
      <w:r>
        <w:t xml:space="preserve">ниже:</w:t>
      </w:r>
    </w:p>
    <w:p>
      <w:pPr>
        <w:pStyle w:val="BodyText"/>
      </w:pPr>
      <w:r>
        <w:drawing>
          <wp:inline>
            <wp:extent cx="5334000" cy="196838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683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Появившемся списке, Вы можете выбрать какой тип загрузки</w:t>
      </w:r>
      <w:r>
        <w:t xml:space="preserve"> </w:t>
      </w:r>
      <w:r>
        <w:t xml:space="preserve">нужен:</w:t>
      </w:r>
    </w:p>
    <w:p>
      <w:pPr>
        <w:pStyle w:val="BodyText"/>
      </w:pPr>
      <w:r>
        <w:drawing>
          <wp:inline>
            <wp:extent cx="5334000" cy="15837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5837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 выборе "Скачать структуру бизнес-объектов" скачивается</w:t>
      </w:r>
      <w:r>
        <w:t xml:space="preserve"> </w:t>
      </w:r>
      <w:r>
        <w:t xml:space="preserve">архивный файл со всеми бизнес-объектами, бизнес-процессами и</w:t>
      </w:r>
      <w:r>
        <w:t xml:space="preserve"> </w:t>
      </w:r>
      <w:r>
        <w:t xml:space="preserve">т.д.</w:t>
      </w:r>
    </w:p>
    <w:p>
      <w:pPr>
        <w:pStyle w:val="BodyText"/>
      </w:pPr>
      <w:r>
        <w:t xml:space="preserve">При выборе "Скачать структуру и данные о компании" откроется</w:t>
      </w:r>
      <w:r>
        <w:t xml:space="preserve"> </w:t>
      </w:r>
      <w:r>
        <w:t xml:space="preserve">список бизнес-объектов, которых Вы можете скачать их записи:</w:t>
      </w:r>
    </w:p>
    <w:p>
      <w:pPr>
        <w:pStyle w:val="BodyText"/>
      </w:pPr>
      <w:r>
        <w:drawing>
          <wp:inline>
            <wp:extent cx="5334000" cy="287682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768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У Вас скачивается архивный файл со всеми инстанциями выбранных</w:t>
      </w:r>
      <w:r>
        <w:t xml:space="preserve"> </w:t>
      </w:r>
      <w:r>
        <w:t xml:space="preserve">бизнес-объектов из списка.</w:t>
      </w:r>
    </w:p>
    <w:p>
      <w:pPr>
        <w:pStyle w:val="BodyText"/>
      </w:pPr>
      <w:r>
        <w:t xml:space="preserve">При выборе "Скачать структуру со всеми данными" скачивается все</w:t>
      </w:r>
      <w:r>
        <w:t xml:space="preserve"> </w:t>
      </w:r>
      <w:r>
        <w:t xml:space="preserve">бизнес-объекты и их записями.</w:t>
      </w:r>
    </w:p>
    <w:p>
      <w:pPr>
        <w:pStyle w:val="Heading2"/>
      </w:pPr>
      <w:bookmarkStart w:id="44" w:name="загрузка-структуры"/>
      <w:r>
        <w:t xml:space="preserve">Загрузка структуры</w:t>
      </w:r>
      <w:bookmarkEnd w:id="44"/>
    </w:p>
    <w:p>
      <w:pPr>
        <w:pStyle w:val="FirstParagraph"/>
      </w:pPr>
      <w:r>
        <w:t xml:space="preserve">Для загрузки структуры выберите "Загрузить структуру":</w:t>
      </w:r>
    </w:p>
    <w:p>
      <w:pPr>
        <w:pStyle w:val="BodyText"/>
      </w:pPr>
      <w:r>
        <w:drawing>
          <wp:inline>
            <wp:extent cx="5334000" cy="296402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640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открывшемся окне выберите нужный архивный файл:</w:t>
      </w:r>
    </w:p>
    <w:p>
      <w:pPr>
        <w:pStyle w:val="BodyText"/>
      </w:pPr>
      <w:r>
        <w:drawing>
          <wp:inline>
            <wp:extent cx="5334000" cy="209319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931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Подождите пока загрузиться данные. Время загрузки зависит от</w:t>
      </w:r>
      <w:r>
        <w:t xml:space="preserve"> </w:t>
      </w:r>
      <w:r>
        <w:t xml:space="preserve">объема данных, которую Вы загружаете.</w:t>
      </w:r>
    </w:p>
    <w:p>
      <w:pPr>
        <w:pStyle w:val="BodyText"/>
      </w:pPr>
      <w:r>
        <w:drawing>
          <wp:inline>
            <wp:extent cx="5334000" cy="205770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77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48" w:name="личный-профиль-пользователя"/>
      <w:r>
        <w:t xml:space="preserve">Личный профиль пользователя</w:t>
      </w:r>
      <w:bookmarkEnd w:id="48"/>
    </w:p>
    <w:p>
      <w:pPr>
        <w:pStyle w:val="FirstParagraph"/>
      </w:pPr>
      <w:r>
        <w:t xml:space="preserve">При нажатии на Имя пользователя откроется контекстное меню с</w:t>
      </w:r>
      <w:r>
        <w:t xml:space="preserve"> </w:t>
      </w:r>
      <w:r>
        <w:t xml:space="preserve">пунктами:</w:t>
      </w:r>
    </w:p>
    <w:p>
      <w:pPr>
        <w:pStyle w:val="Compact"/>
        <w:numPr>
          <w:numId w:val="1005"/>
          <w:ilvl w:val="0"/>
        </w:numPr>
      </w:pPr>
      <w:r>
        <w:t xml:space="preserve">Перейти в профиль</w:t>
      </w:r>
    </w:p>
    <w:p>
      <w:pPr>
        <w:pStyle w:val="Compact"/>
        <w:numPr>
          <w:numId w:val="1005"/>
          <w:ilvl w:val="0"/>
        </w:numPr>
      </w:pPr>
      <w:r>
        <w:t xml:space="preserve">Сменить пароль</w:t>
      </w:r>
    </w:p>
    <w:p>
      <w:pPr>
        <w:pStyle w:val="Compact"/>
        <w:numPr>
          <w:numId w:val="1005"/>
          <w:ilvl w:val="0"/>
        </w:numPr>
      </w:pPr>
      <w:r>
        <w:t xml:space="preserve">Сменить язык</w:t>
      </w:r>
    </w:p>
    <w:p>
      <w:pPr>
        <w:pStyle w:val="Compact"/>
        <w:numPr>
          <w:numId w:val="1005"/>
          <w:ilvl w:val="0"/>
        </w:numPr>
      </w:pPr>
      <w:r>
        <w:t xml:space="preserve">Сведения о системе</w:t>
      </w:r>
    </w:p>
    <w:p>
      <w:pPr>
        <w:pStyle w:val="Compact"/>
        <w:numPr>
          <w:numId w:val="1005"/>
          <w:ilvl w:val="0"/>
        </w:numPr>
      </w:pPr>
      <w:r>
        <w:t xml:space="preserve">QR-код для мобильной версии</w:t>
      </w:r>
    </w:p>
    <w:p>
      <w:pPr>
        <w:pStyle w:val="Compact"/>
        <w:numPr>
          <w:numId w:val="1005"/>
          <w:ilvl w:val="0"/>
        </w:numPr>
      </w:pPr>
      <w:r>
        <w:t xml:space="preserve">Кнопка Выйти.</w:t>
      </w:r>
    </w:p>
    <w:p>
      <w:pPr>
        <w:pStyle w:val="FirstParagraph"/>
      </w:pPr>
      <w:r>
        <w:drawing>
          <wp:inline>
            <wp:extent cx="5334000" cy="594984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9498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0" w:name="профиль-пользователя"/>
      <w:r>
        <w:t xml:space="preserve">Профиль пользователя</w:t>
      </w:r>
      <w:bookmarkEnd w:id="50"/>
    </w:p>
    <w:p>
      <w:pPr>
        <w:pStyle w:val="FirstParagraph"/>
      </w:pPr>
      <w:r>
        <w:t xml:space="preserve">По нажатию на кнопку “Перейти в профиль” в контекстном меню</w:t>
      </w:r>
      <w:r>
        <w:t xml:space="preserve"> </w:t>
      </w:r>
      <w:r>
        <w:t xml:space="preserve">откроется мини карточка личного профиля со вкладками: Данные о</w:t>
      </w:r>
      <w:r>
        <w:t xml:space="preserve"> </w:t>
      </w:r>
      <w:r>
        <w:t xml:space="preserve">пользователе и Безопасность.</w:t>
      </w:r>
    </w:p>
    <w:p>
      <w:pPr>
        <w:pStyle w:val="BodyText"/>
      </w:pPr>
      <w:r>
        <w:drawing>
          <wp:inline>
            <wp:extent cx="5334000" cy="231169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116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Во вкладке “Данные о сотруднике” содержится следующая</w:t>
      </w:r>
      <w:r>
        <w:t xml:space="preserve"> </w:t>
      </w:r>
      <w:r>
        <w:t xml:space="preserve">информация: фамилия, имя, должность, телефон, e-mail, роль.</w:t>
      </w:r>
      <w:r>
        <w:t xml:space="preserve"> </w:t>
      </w:r>
      <w:r>
        <w:t xml:space="preserve">(Пользователь может изменить информацию о себе).</w:t>
      </w:r>
    </w:p>
    <w:p>
      <w:pPr>
        <w:pStyle w:val="BodyText"/>
      </w:pPr>
      <w:r>
        <w:rPr>
          <w:i/>
        </w:rPr>
        <w:t xml:space="preserve">Примечание. При изменении Email, пользователю нужно будет</w:t>
      </w:r>
      <w:r>
        <w:rPr>
          <w:i/>
        </w:rPr>
        <w:t xml:space="preserve"> </w:t>
      </w:r>
      <w:r>
        <w:rPr>
          <w:i/>
        </w:rPr>
        <w:t xml:space="preserve">подтвердить изменение, либо отменить. После подтверждения изменения</w:t>
      </w:r>
      <w:r>
        <w:rPr>
          <w:i/>
        </w:rPr>
        <w:t xml:space="preserve"> </w:t>
      </w:r>
      <w:r>
        <w:rPr>
          <w:i/>
        </w:rPr>
        <w:t xml:space="preserve">Email, логином для входа в систему будет являться новый</w:t>
      </w:r>
      <w:r>
        <w:rPr>
          <w:i/>
        </w:rPr>
        <w:t xml:space="preserve"> </w:t>
      </w:r>
      <w:r>
        <w:rPr>
          <w:i/>
        </w:rPr>
        <w:t xml:space="preserve">Email.</w:t>
      </w:r>
    </w:p>
    <w:p>
      <w:pPr>
        <w:pStyle w:val="BodyText"/>
      </w:pPr>
      <w:r>
        <w:drawing>
          <wp:inline>
            <wp:extent cx="5334000" cy="210013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001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3" w:name="сменить-пароль"/>
      <w:r>
        <w:t xml:space="preserve">Сменить пароль</w:t>
      </w:r>
      <w:bookmarkEnd w:id="53"/>
    </w:p>
    <w:p>
      <w:pPr>
        <w:pStyle w:val="FirstParagraph"/>
      </w:pPr>
      <w:r>
        <w:t xml:space="preserve">Сменить пароль - при нажатии откроется окно для ввода старого</w:t>
      </w:r>
      <w:r>
        <w:t xml:space="preserve"> </w:t>
      </w:r>
      <w:r>
        <w:t xml:space="preserve">пароля и нового с дополнительным подтверждением. Пароль должен</w:t>
      </w:r>
      <w:r>
        <w:t xml:space="preserve"> </w:t>
      </w:r>
      <w:r>
        <w:t xml:space="preserve">содержать не менее 8 символов. Могут использоваться следующие</w:t>
      </w:r>
      <w:r>
        <w:t xml:space="preserve"> </w:t>
      </w:r>
      <w:r>
        <w:t xml:space="preserve">символы: цифры, буквы латиницы. Система проверяет соответствие</w:t>
      </w:r>
      <w:r>
        <w:t xml:space="preserve"> </w:t>
      </w:r>
      <w:r>
        <w:t xml:space="preserve">нового пароля и пароля введенного для подтверждения - в случае</w:t>
      </w:r>
      <w:r>
        <w:t xml:space="preserve"> </w:t>
      </w:r>
      <w:r>
        <w:t xml:space="preserve">несоответствия подсвечивает красным цветом, введены пароли не</w:t>
      </w:r>
      <w:r>
        <w:t xml:space="preserve"> </w:t>
      </w:r>
      <w:r>
        <w:t xml:space="preserve">совпадают.</w:t>
      </w:r>
    </w:p>
    <w:p>
      <w:pPr>
        <w:pStyle w:val="Heading2"/>
      </w:pPr>
      <w:bookmarkStart w:id="54" w:name="сменить-язык"/>
      <w:r>
        <w:t xml:space="preserve">Сменить язык</w:t>
      </w:r>
      <w:bookmarkEnd w:id="54"/>
    </w:p>
    <w:p>
      <w:pPr>
        <w:pStyle w:val="FirstParagraph"/>
      </w:pPr>
      <w:r>
        <w:t xml:space="preserve">Сменить язык - при нажатии откроется окно для выбора языка.</w:t>
      </w:r>
    </w:p>
    <w:p>
      <w:pPr>
        <w:pStyle w:val="BodyText"/>
      </w:pPr>
      <w:r>
        <w:drawing>
          <wp:inline>
            <wp:extent cx="5334000" cy="276317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631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6" w:name="сведения-о-системе"/>
      <w:r>
        <w:t xml:space="preserve">Сведения о системе</w:t>
      </w:r>
      <w:bookmarkEnd w:id="56"/>
    </w:p>
    <w:p>
      <w:pPr>
        <w:pStyle w:val="FirstParagraph"/>
      </w:pPr>
      <w:r>
        <w:t xml:space="preserve">Сведения о системе - при нажатии откроется окно данными по</w:t>
      </w:r>
      <w:r>
        <w:t xml:space="preserve"> </w:t>
      </w:r>
      <w:r>
        <w:t xml:space="preserve">текущим версиям системы.</w:t>
      </w:r>
    </w:p>
    <w:p>
      <w:pPr>
        <w:pStyle w:val="BodyText"/>
      </w:pPr>
      <w:r>
        <w:drawing>
          <wp:inline>
            <wp:extent cx="5334000" cy="26214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214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8" w:name="qr-код-для-мобильной-версии"/>
      <w:r>
        <w:t xml:space="preserve">QR-код для мобильной версии</w:t>
      </w:r>
      <w:bookmarkEnd w:id="58"/>
    </w:p>
    <w:p>
      <w:pPr>
        <w:pStyle w:val="FirstParagraph"/>
      </w:pPr>
      <w:r>
        <w:t xml:space="preserve">QR-код для мобильной версии - при нажатии откроется окно с</w:t>
      </w:r>
      <w:r>
        <w:t xml:space="preserve"> </w:t>
      </w:r>
      <w:r>
        <w:t xml:space="preserve">отображением QR - кода для сканирования при авторизации в мобильной</w:t>
      </w:r>
      <w:r>
        <w:t xml:space="preserve"> </w:t>
      </w:r>
      <w:r>
        <w:t xml:space="preserve">версии системы.</w:t>
      </w:r>
    </w:p>
    <w:p>
      <w:pPr>
        <w:pStyle w:val="BodyText"/>
      </w:pPr>
      <w:r>
        <w:drawing>
          <wp:inline>
            <wp:extent cx="5334000" cy="536237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623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60" w:name="выйти"/>
      <w:r>
        <w:t xml:space="preserve">Выйти</w:t>
      </w:r>
      <w:bookmarkEnd w:id="60"/>
    </w:p>
    <w:p>
      <w:pPr>
        <w:pStyle w:val="FirstParagraph"/>
      </w:pPr>
      <w:r>
        <w:t xml:space="preserve">Выйти - при нажатии осуществляется выход из системы. Открывается</w:t>
      </w:r>
      <w:r>
        <w:t xml:space="preserve"> </w:t>
      </w:r>
      <w:r>
        <w:t xml:space="preserve">окно для ввода логин/пароля для авторизации.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image" Id="rId24" Target="media/rId24.gif" /><Relationship Type="http://schemas.openxmlformats.org/officeDocument/2006/relationships/image" Id="rId25" Target="media/rId25.png" /><Relationship Type="http://schemas.openxmlformats.org/officeDocument/2006/relationships/image" Id="rId27" Target="media/rId27.png" /><Relationship Type="http://schemas.openxmlformats.org/officeDocument/2006/relationships/image" Id="rId29" Target="media/rId29.png" /><Relationship Type="http://schemas.openxmlformats.org/officeDocument/2006/relationships/image" Id="rId31" Target="media/rId31.png" /><Relationship Type="http://schemas.openxmlformats.org/officeDocument/2006/relationships/image" Id="rId40" Target="media/rId40.png" /><Relationship Type="http://schemas.openxmlformats.org/officeDocument/2006/relationships/image" Id="rId41" Target="media/rId41.png" /><Relationship Type="http://schemas.openxmlformats.org/officeDocument/2006/relationships/image" Id="rId42" Target="media/rId42.png" /><Relationship Type="http://schemas.openxmlformats.org/officeDocument/2006/relationships/image" Id="rId43" Target="media/rId43.png" /><Relationship Type="http://schemas.openxmlformats.org/officeDocument/2006/relationships/image" Id="rId45" Target="media/rId45.png" /><Relationship Type="http://schemas.openxmlformats.org/officeDocument/2006/relationships/image" Id="rId46" Target="media/rId46.png" /><Relationship Type="http://schemas.openxmlformats.org/officeDocument/2006/relationships/image" Id="rId47" Target="media/rId47.png" /><Relationship Type="http://schemas.openxmlformats.org/officeDocument/2006/relationships/image" Id="rId49" Target="media/rId49.png" /><Relationship Type="http://schemas.openxmlformats.org/officeDocument/2006/relationships/image" Id="rId51" Target="media/rId51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7" Target="media/rId57.png" /><Relationship Type="http://schemas.openxmlformats.org/officeDocument/2006/relationships/image" Id="rId59" Target="media/rId59.png" /><Relationship Type="http://schemas.openxmlformats.org/officeDocument/2006/relationships/hyperlink" Id="rId35" Target="010_systemAdministration.md" TargetMode="External" /><Relationship Type="http://schemas.openxmlformats.org/officeDocument/2006/relationships/hyperlink" Id="rId34" Target="030_department.md" TargetMode="External" /><Relationship Type="http://schemas.openxmlformats.org/officeDocument/2006/relationships/hyperlink" Id="rId36" Target="040_company" TargetMode="External" /><Relationship Type="http://schemas.openxmlformats.org/officeDocument/2006/relationships/hyperlink" Id="rId37" Target="040_working.md" TargetMode="External" /><Relationship Type="http://schemas.openxmlformats.org/officeDocument/2006/relationships/hyperlink" Id="rId33" Target="060_report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5" Target="010_systemAdministration.md" TargetMode="External" /><Relationship Type="http://schemas.openxmlformats.org/officeDocument/2006/relationships/hyperlink" Id="rId34" Target="030_department.md" TargetMode="External" /><Relationship Type="http://schemas.openxmlformats.org/officeDocument/2006/relationships/hyperlink" Id="rId36" Target="040_company" TargetMode="External" /><Relationship Type="http://schemas.openxmlformats.org/officeDocument/2006/relationships/hyperlink" Id="rId37" Target="040_working.md" TargetMode="External" /><Relationship Type="http://schemas.openxmlformats.org/officeDocument/2006/relationships/hyperlink" Id="rId33" Target="060_repor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2024-10-18T06:33:26Z</dcterms:created>
  <dcterms:modified xsi:type="dcterms:W3CDTF">2024-10-18T06:33:26Z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