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0.png" ContentType="image/png"/>
  <Override PartName="/word/media/rId51.png" ContentType="image/png"/>
  <Override PartName="/word/media/rId52.png" ContentType="image/png"/>
  <Override PartName="/word/media/rId5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прав-на-объект"/>
      <w:r>
        <w:t xml:space="preserve">Настройка прав на объект</w:t>
      </w:r>
      <w:bookmarkEnd w:id="20"/>
    </w:p>
    <w:p>
      <w:pPr>
        <w:pStyle w:val="FirstParagraph"/>
      </w:pPr>
      <w:r>
        <w:t xml:space="preserve">Настройка прав доступа на объект позволяет предоставить или</w:t>
      </w:r>
      <w:r>
        <w:t xml:space="preserve"> </w:t>
      </w:r>
      <w:r>
        <w:t xml:space="preserve">ограничить права на просмотр, создание, редактирование,</w:t>
      </w:r>
      <w:r>
        <w:t xml:space="preserve"> </w:t>
      </w:r>
      <w:r>
        <w:t xml:space="preserve">архивирование, удаление и экспортирование данных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</w:t>
      </w:r>
    </w:p>
    <w:p>
      <w:pPr>
        <w:pStyle w:val="BodyText"/>
      </w:pPr>
      <w:r>
        <w:t xml:space="preserve">Для того чтобы настроить права на объект,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pStyle w:val="BodyText"/>
      </w:pPr>
      <w:r>
        <w:t xml:space="preserve">Открыть объект, в котором будут настраиваться права, затем</w:t>
      </w:r>
      <w:r>
        <w:t xml:space="preserve"> </w:t>
      </w:r>
      <w:r>
        <w:t xml:space="preserve">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BodyText"/>
      </w:pPr>
      <w:r>
        <w:drawing>
          <wp:inline>
            <wp:extent cx="5334000" cy="277120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1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1"/>
          <w:ilvl w:val="0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1"/>
          <w:ilvl w:val="0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pStyle w:val="FirstParagraph"/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“⋮” и указать пользователей, департаменты или</w:t>
      </w:r>
      <w:r>
        <w:t xml:space="preserve"> </w:t>
      </w:r>
      <w:r>
        <w:t xml:space="preserve">группы пользователи (роли), которые получат доступ.</w:t>
      </w:r>
    </w:p>
    <w:p>
      <w:pPr>
        <w:pStyle w:val="BodyText"/>
      </w:pPr>
      <w:r>
        <w:drawing>
          <wp:inline>
            <wp:extent cx="5334000" cy="35794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9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записей в объекте. По</w:t>
            </w:r>
            <w:r>
              <w:t xml:space="preserve"> </w:t>
            </w:r>
            <w:r>
              <w:t xml:space="preserve">умолчанию, автор записи заполнен, и недоступно для</w:t>
            </w:r>
            <w:r>
              <w:t xml:space="preserve"> </w:t>
            </w:r>
            <w:r>
              <w:t xml:space="preserve">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Создать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добавление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1282700" cy="4445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5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записей в</w:t>
            </w:r>
            <w:r>
              <w:t xml:space="preserve"> </w:t>
            </w:r>
            <w:r>
              <w:t xml:space="preserve">объекте. Пользователи, у которых есть права на редактирование,</w:t>
            </w:r>
            <w:r>
              <w:t xml:space="preserve"> </w:t>
            </w:r>
            <w:r>
              <w:t xml:space="preserve">автоматически получат права на просмотр.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Архивировать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архивирование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19100" cy="4318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6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Удалить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удаление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06400" cy="4572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7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Экспорт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экспорт записей, доступна кнопка</w:t>
            </w:r>
            <w:r>
              <w:t xml:space="preserve"> </w:t>
            </w:r>
            <w:r>
              <w:t xml:space="preserve">“</w:t>
            </w:r>
            <w:r>
              <w:drawing>
                <wp:inline>
                  <wp:extent cx="431800" cy="3810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8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</w:tbl>
    <w:p>
      <w:pPr>
        <w:pStyle w:val="BodyText"/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 “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Heading1"/>
      </w:pPr>
      <w:bookmarkStart w:id="30" w:name="X880d071957b8cdc7d8fb7a2c0c1cac61e1d32a2"/>
      <w:r>
        <w:t xml:space="preserve">Список доступных групп пользователей для настройки</w:t>
      </w:r>
      <w:r>
        <w:t xml:space="preserve"> </w:t>
      </w:r>
      <w:r>
        <w:t xml:space="preserve">прав</w:t>
      </w:r>
      <w:bookmarkEnd w:id="30"/>
    </w:p>
    <w:p>
      <w:pPr>
        <w:pStyle w:val="FirstParagraph"/>
      </w:pPr>
      <w:r>
        <w:t xml:space="preserve">По умолчанию в системе доступен список групп пользователей:</w:t>
      </w:r>
    </w:p>
    <w:p>
      <w:pPr>
        <w:pStyle w:val="BodyText"/>
      </w:pPr>
      <w:r>
        <w:t xml:space="preserve">Департаменты</w:t>
      </w:r>
      <w:r>
        <w:t xml:space="preserve"> </w:t>
      </w:r>
      <w:r>
        <w:drawing>
          <wp:inline>
            <wp:extent cx="368300" cy="45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  <w:r>
        <w:t xml:space="preserve"> </w:t>
      </w:r>
      <w:r>
        <w:t xml:space="preserve">Пользователи и дочерние департаменты, входящие в департамент</w:t>
      </w:r>
      <w:r>
        <w:t xml:space="preserve"> </w:t>
      </w:r>
      <w:r>
        <w:t xml:space="preserve">“Наименование департамента”,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drawing>
          <wp:inline>
            <wp:extent cx="4292600" cy="840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0621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2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Группы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входящие в группу “Наименование группы”, будут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drawing>
          <wp:inline>
            <wp:extent cx="3962400" cy="3454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6973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9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Участники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которые добавлены в участники на карточке записи объекта, будут</w:t>
      </w:r>
      <w:r>
        <w:t xml:space="preserve"> </w:t>
      </w:r>
      <w:r>
        <w:t xml:space="preserve">иметь права на указанные операции при настройке прав.</w:t>
      </w:r>
    </w:p>
    <w:p>
      <w:pPr>
        <w:pStyle w:val="BodyText"/>
      </w:pPr>
      <w:r>
        <w:drawing>
          <wp:inline>
            <wp:extent cx="5334000" cy="232185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218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</w:t>
      </w:r>
      <w:r>
        <w:t xml:space="preserve"> </w:t>
      </w:r>
      <w:r>
        <w:drawing>
          <wp:inline>
            <wp:extent cx="342900" cy="3683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Отдельные</w:t>
      </w:r>
      <w:r>
        <w:t xml:space="preserve"> </w:t>
      </w:r>
      <w:r>
        <w:t xml:space="preserve">пользователи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drawing>
          <wp:inline>
            <wp:extent cx="5334000" cy="565262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52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125690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6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Автор (инициатор). Автор записи по умолчанию имеет права на все</w:t>
      </w:r>
      <w:r>
        <w:t xml:space="preserve"> </w:t>
      </w:r>
      <w:r>
        <w:t xml:space="preserve">операции, кроме создания, при настройке прав. В настройках, можно</w:t>
      </w:r>
      <w:r>
        <w:t xml:space="preserve"> </w:t>
      </w:r>
      <w:r>
        <w:t xml:space="preserve">указать права для руководителя и подчиненных автора записи на</w:t>
      </w:r>
      <w:r>
        <w:t xml:space="preserve"> </w:t>
      </w:r>
      <w:r>
        <w:t xml:space="preserve">операции.</w:t>
      </w:r>
    </w:p>
    <w:p>
      <w:pPr>
        <w:pStyle w:val="BodyText"/>
      </w:pPr>
      <w:r>
        <w:drawing>
          <wp:inline>
            <wp:extent cx="5334000" cy="21067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6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автора, будет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t xml:space="preserve">Подчиненные - подчиненные автора, объекте, будут иметь права на</w:t>
      </w:r>
      <w:r>
        <w:t xml:space="preserve"> </w:t>
      </w:r>
      <w:r>
        <w:t xml:space="preserve">указанные операции при настройке прав, если автор указан как</w:t>
      </w:r>
      <w:r>
        <w:t xml:space="preserve"> </w:t>
      </w:r>
      <w:r>
        <w:t xml:space="preserve">руководитель в департаменте в которую он входит.</w:t>
      </w:r>
    </w:p>
    <w:p>
      <w:pPr>
        <w:pStyle w:val="BodyText"/>
      </w:pPr>
      <w:r>
        <w:t xml:space="preserve">Вложенный объект Пользователи:</w:t>
      </w:r>
    </w:p>
    <w:p>
      <w:pPr>
        <w:pStyle w:val="BodyText"/>
      </w:pPr>
      <w:r>
        <w:t xml:space="preserve">При добавлении вложенного объекта Пользователи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80945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Содержимое поле - пользователи, которые указаны во вложенном</w:t>
      </w:r>
      <w:r>
        <w:t xml:space="preserve"> </w:t>
      </w:r>
      <w:r>
        <w:t xml:space="preserve">объекте,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t xml:space="preserve">Руководитель - руководитель пользователей, которые указаны во</w:t>
      </w:r>
      <w:r>
        <w:t xml:space="preserve"> </w:t>
      </w:r>
      <w:r>
        <w:t xml:space="preserve">вложенном объекте, будут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Подчиненные - подчиненные пользователей, которые указаны во</w:t>
      </w:r>
      <w:r>
        <w:t xml:space="preserve"> </w:t>
      </w:r>
      <w:r>
        <w:t xml:space="preserve">вложенном объекте. Будут иметь права на указанные операции при</w:t>
      </w:r>
      <w:r>
        <w:t xml:space="preserve"> </w:t>
      </w:r>
      <w:r>
        <w:t xml:space="preserve">настройке прав, если пользователь указаны как руководитель в</w:t>
      </w:r>
      <w:r>
        <w:t xml:space="preserve"> </w:t>
      </w:r>
      <w:r>
        <w:t xml:space="preserve">департаменте в которую он входит.</w:t>
      </w:r>
    </w:p>
    <w:p>
      <w:pPr>
        <w:pStyle w:val="BodyText"/>
      </w:pPr>
      <w:r>
        <w:t xml:space="preserve">Вложенный объект Департаменты:</w:t>
      </w:r>
    </w:p>
    <w:p>
      <w:pPr>
        <w:pStyle w:val="BodyText"/>
      </w:pPr>
      <w:r>
        <w:t xml:space="preserve">При добавлении вложенного объекта Департаменты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624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4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департамента, который указан во</w:t>
      </w:r>
      <w:r>
        <w:t xml:space="preserve"> </w:t>
      </w:r>
      <w:r>
        <w:t xml:space="preserve">вложенном объекте, будет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Сотрудники департамента - пользователи департамента, которые</w:t>
      </w:r>
      <w:r>
        <w:t xml:space="preserve"> </w:t>
      </w:r>
      <w:r>
        <w:t xml:space="preserve">указаны во вложенном объекте,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t xml:space="preserve">На карточку объекта можно добавлять неограниченное количество</w:t>
      </w:r>
      <w:r>
        <w:t xml:space="preserve"> </w:t>
      </w:r>
      <w:r>
        <w:t xml:space="preserve">вложенных объектов Департаменты и Пользователи. Подробно по</w:t>
      </w:r>
      <w:r>
        <w:t xml:space="preserve"> </w:t>
      </w:r>
      <w:r>
        <w:t xml:space="preserve">вложенным объектам и их настройкам описано во главе</w:t>
      </w:r>
      <w:r>
        <w:t xml:space="preserve"> </w:t>
      </w:r>
      <w:hyperlink r:id="rId45">
        <w:r>
          <w:rPr>
            <w:rStyle w:val="Hyperlink"/>
          </w:rPr>
          <w:t xml:space="preserve">Вложенные объекты</w:t>
        </w:r>
      </w:hyperlink>
      <w:r>
        <w:t xml:space="preserve">.</w:t>
      </w:r>
    </w:p>
    <w:p>
      <w:pPr>
        <w:pStyle w:val="BodyText"/>
      </w:pPr>
      <w:r>
        <w:t xml:space="preserve">Сотрудники нижестоящих департаментов - пользователи из дочерних</w:t>
      </w:r>
      <w:r>
        <w:t xml:space="preserve"> </w:t>
      </w:r>
      <w:r>
        <w:t xml:space="preserve">подразделений. Например, как показано ниже в картинке. При указании</w:t>
      </w:r>
      <w:r>
        <w:t xml:space="preserve"> </w:t>
      </w:r>
      <w:r>
        <w:t xml:space="preserve">этого доступа для департаментов Желаево, Зачаганск, Деркул будут</w:t>
      </w:r>
      <w:r>
        <w:t xml:space="preserve"> </w:t>
      </w:r>
      <w:r>
        <w:t xml:space="preserve">доступны записи, в которых указан департамент Уральск.</w:t>
      </w:r>
    </w:p>
    <w:p>
      <w:pPr>
        <w:pStyle w:val="BodyText"/>
      </w:pPr>
      <w:r>
        <w:drawing>
          <wp:inline>
            <wp:extent cx="4597400" cy="2717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Аналогично, сотрудники вышестоящих департаментов - пользователи</w:t>
      </w:r>
      <w:r>
        <w:t xml:space="preserve"> </w:t>
      </w:r>
      <w:r>
        <w:t xml:space="preserve">из родительских подразделений. Записи из дочерних подразделений</w:t>
      </w:r>
      <w:r>
        <w:t xml:space="preserve"> </w:t>
      </w:r>
      <w:r>
        <w:t xml:space="preserve">будут доступны для родительских подразделений.</w:t>
      </w:r>
    </w:p>
    <w:p>
      <w:pPr>
        <w:pStyle w:val="BodyText"/>
      </w:pPr>
      <w:r>
        <w:drawing>
          <wp:inline>
            <wp:extent cx="4699000" cy="45466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настройка-прав-по-полям"/>
      <w:r>
        <w:t xml:space="preserve">Настройка прав по полям</w:t>
      </w:r>
      <w:bookmarkEnd w:id="48"/>
    </w:p>
    <w:p>
      <w:pPr>
        <w:pStyle w:val="FirstParagraph"/>
      </w:pPr>
      <w:r>
        <w:t xml:space="preserve">Использование доступа по полям позволяет ограничить права на</w:t>
      </w:r>
      <w:r>
        <w:t xml:space="preserve"> </w:t>
      </w:r>
      <w:r>
        <w:t xml:space="preserve">просмотр и редактирование значений в отдельных полях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 Например, вы можете ограничить право на просмотр данных в</w:t>
      </w:r>
      <w:r>
        <w:t xml:space="preserve"> </w:t>
      </w:r>
      <w:r>
        <w:t xml:space="preserve">поле "ИИН" для роли “оператор”, а остальным сотрудникам компании</w:t>
      </w:r>
      <w:r>
        <w:t xml:space="preserve"> </w:t>
      </w:r>
      <w:r>
        <w:t xml:space="preserve">оставить доступ к полю. При этом для пользователей, у которых нет</w:t>
      </w:r>
      <w:r>
        <w:t xml:space="preserve"> </w:t>
      </w:r>
      <w:r>
        <w:t xml:space="preserve">права на просмотр поля "ИИН", поле будет невидимым.</w:t>
      </w:r>
    </w:p>
    <w:p>
      <w:pPr>
        <w:numPr>
          <w:numId w:val="1002"/>
          <w:ilvl w:val="0"/>
        </w:numPr>
      </w:pPr>
      <w:r>
        <w:t xml:space="preserve">Для того чтобы настроить права на поле,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numPr>
          <w:numId w:val="1002"/>
          <w:ilvl w:val="0"/>
        </w:numPr>
      </w:pPr>
      <w:r>
        <w:t xml:space="preserve">Открыть объект, и выбрать нужное поле в котором будут</w:t>
      </w:r>
      <w:r>
        <w:t xml:space="preserve"> </w:t>
      </w:r>
      <w:r>
        <w:t xml:space="preserve">настраиваться права, затем 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FirstParagraph"/>
      </w:pPr>
      <w:r>
        <w:drawing>
          <wp:inline>
            <wp:extent cx="5334000" cy="262061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0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3"/>
          <w:ilvl w:val="0"/>
        </w:numPr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4"/>
          <w:ilvl w:val="1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4"/>
          <w:ilvl w:val="1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numPr>
          <w:numId w:val="1003"/>
          <w:ilvl w:val="0"/>
        </w:numPr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“Выберите” и указать пользователей, департаменты</w:t>
      </w:r>
      <w:r>
        <w:t xml:space="preserve"> </w:t>
      </w:r>
      <w:r>
        <w:t xml:space="preserve">или группы пользователи (роли), которые получат доступ.</w:t>
      </w:r>
    </w:p>
    <w:p>
      <w:pPr>
        <w:pStyle w:val="FirstParagraph"/>
      </w:pPr>
      <w:r>
        <w:drawing>
          <wp:inline>
            <wp:extent cx="5334000" cy="35689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8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поля в объекте.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поля в объекте.</w:t>
            </w:r>
            <w:r>
              <w:t xml:space="preserve"> </w:t>
            </w:r>
            <w:r>
              <w:t xml:space="preserve">Пользователи, у которых есть права на редактирование, автоматически</w:t>
            </w:r>
            <w:r>
              <w:t xml:space="preserve"> </w:t>
            </w:r>
            <w:r>
              <w:t xml:space="preserve">получат права на просмотр.</w:t>
            </w:r>
          </w:p>
        </w:tc>
      </w:tr>
    </w:tbl>
    <w:p>
      <w:pPr>
        <w:pStyle w:val="Compact"/>
        <w:numPr>
          <w:numId w:val="1005"/>
          <w:ilvl w:val="0"/>
        </w:numPr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</w:t>
      </w:r>
      <w:r>
        <w:t xml:space="preserve"> 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0" Target="media/rId50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3" Target="media/rId53.png" /><Relationship Type="http://schemas.openxmlformats.org/officeDocument/2006/relationships/hyperlink" Id="rId45" Target="../040_nested_object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40_nested_object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2024-09-08T02:59:43Z</dcterms:created>
  <dcterms:modified xsi:type="dcterms:W3CDTF">2024-09-08T02:59:43Z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