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media/rId25.png" ContentType="image/png"/>
  <Override PartName="/word/media/rId27.png" ContentType="image/png"/>
  <Override PartName="/word/media/rId28.png" ContentType="image/png"/>
  <Override PartName="/word/media/rId29.png" ContentType="image/png"/>
  <Override PartName="/word/media/rId30.png" ContentType="image/png"/>
  <Override PartName="/word/media/rId31.png" ContentType="image/png"/>
  <Override PartName="/word/media/rId32.png" ContentType="image/png"/>
  <Override PartName="/word/media/rId33.png" ContentType="image/png"/>
  <Override PartName="/word/media/rId34.png" ContentType="image/png"/>
  <Override PartName="/word/media/rId36.png" ContentType="image/png"/>
  <Override PartName="/word/media/rId37.png" ContentType="image/png"/>
  <Override PartName="/word/media/rId38.png" ContentType="image/png"/>
  <Override PartName="/word/media/rId40.gif" ContentType="image/gif"/>
  <Override PartName="/word/media/rId42.png" ContentType="image/png"/>
  <Override PartName="/word/media/rId43.png" ContentType="image/png"/>
  <Override PartName="/word/media/rId44.png" ContentType="image/png"/>
  <Override PartName="/word/media/rId45.png" ContentType="image/png"/>
  <Override PartName="/word/media/rId46.png" ContentType="image/png"/>
  <Override PartName="/word/media/rId47.png" ContentType="image/png"/>
  <Override PartName="/word/media/rId48.png" ContentType="image/png"/>
  <Override PartName="/word/media/rId49.png" ContentType="image/png"/>
  <Override PartName="/word/media/rId51.png" ContentType="image/png"/>
  <Override PartName="/word/media/rId52.png" ContentType="image/png"/>
  <Override PartName="/word/media/rId53.gif" ContentType="image/gif"/>
  <Override PartName="/word/media/rId67.png" ContentType="image/png"/>
  <Override PartName="/word/media/rId68.png" ContentType="image/png"/>
  <Override PartName="/word/media/rId69.png" ContentType="image/png"/>
  <Override PartName="/word/media/rId70.png" ContentType="image/png"/>
  <Override PartName="/word/media/rId72.png" ContentType="image/png"/>
  <Override PartName="/word/media/rId74.png" ContentType="image/png"/>
  <Override PartName="/word/media/rId76.png" ContentType="image/png"/>
  <Override PartName="/word/media/rId77.png" ContentType="image/png"/>
  <Override PartName="/word/media/rId78.png" ContentType="image/png"/>
  <Override PartName="/word/media/rId80.png" ContentType="image/png"/>
  <Override PartName="/word/media/rId81.png" ContentType="image/png"/>
  <Override PartName="/word/media/rId83.png" ContentType="image/png"/>
  <Override PartName="/word/media/rId84.png" ContentType="image/png"/>
  <Override PartName="/word/media/rId85.png" ContentType="image/png"/>
  <Override PartName="/word/media/rId87.png" ContentType="image/png"/>
  <Override PartName="/word/media/rId88.png" ContentType="image/png"/>
  <Override PartName="/word/media/rId89.png" ContentType="image/png"/>
  <Override PartName="/word/media/rId91.png" ContentType="image/png"/>
  <Override PartName="/word/media/rId92.png" ContentType="image/png"/>
  <Override PartName="/word/media/rId94.png" ContentType="image/png"/>
  <Override PartName="/word/media/rId95.png" ContentType="image/png"/>
  <Override PartName="/word/media/rId97.png" ContentType="image/png"/>
  <Override PartName="/word/media/rId98.png" ContentType="image/png"/>
  <Override PartName="/word/media/rId99.png" ContentType="image/png"/>
  <Override PartName="/word/media/rId100.png" ContentType="image/png"/>
  <Override PartName="/word/media/rId103.png" ContentType="image/png"/>
  <Override PartName="/word/media/rId104.png" ContentType="image/png"/>
  <Override PartName="/word/media/rId105.png" ContentType="image/png"/>
  <Override PartName="/word/media/rId106.png" ContentType="image/png"/>
  <Override PartName="/word/media/rId107.png" ContentType="image/png"/>
  <Override PartName="/word/media/rId108.png" ContentType="image/png"/>
  <Override PartName="/word/media/rId109.png" ContentType="image/png"/>
  <Override PartName="/word/media/rId110.png" ContentType="image/png"/>
  <Override PartName="/word/media/rId111.png" ContentType="image/png"/>
  <Override PartName="/word/media/rId112.png" ContentType="image/png"/>
  <Override PartName="/word/media/rId113.png" ContentType="image/png"/>
  <Override PartName="/word/media/rId114.png" ContentType="image/png"/>
  <Override PartName="/word/media/rId115.png" ContentType="image/png"/>
  <Override PartName="/word/media/rId116.gif" ContentType="image/gif"/>
  <Override PartName="/word/media/rId118.png" ContentType="image/png"/>
  <Override PartName="/word/media/rId119.png" ContentType="image/png"/>
  <Override PartName="/word/media/rId120.png" ContentType="image/png"/>
  <Override PartName="/word/media/rId121.png" ContentType="image/png"/>
  <Override PartName="/word/media/rId122.gif" ContentType="image/gif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p>
      <w:pPr>
        <w:pStyle w:val="Heading1"/>
      </w:pPr>
      <w:bookmarkStart w:id="20" w:name="работа-с-полями"/>
      <w:r>
        <w:t xml:space="preserve">Работа с полями</w:t>
      </w:r>
      <w:bookmarkEnd w:id="20"/>
    </w:p>
    <w:p>
      <w:pPr>
        <w:pStyle w:val="FirstParagraph"/>
      </w:pPr>
      <w:hyperlink r:id="rId21">
        <w:r>
          <w:rPr>
            <w:rStyle w:val="Hyperlink"/>
          </w:rPr>
          <w:t xml:space="preserve">Добавление поля в</w:t>
        </w:r>
        <w:r>
          <w:rPr>
            <w:rStyle w:val="Hyperlink"/>
          </w:rPr>
          <w:t xml:space="preserve"> </w:t>
        </w:r>
        <w:r>
          <w:rPr>
            <w:rStyle w:val="Hyperlink"/>
          </w:rPr>
          <w:t xml:space="preserve">бизнес-объект</w:t>
        </w:r>
      </w:hyperlink>
    </w:p>
    <w:p>
      <w:pPr>
        <w:pStyle w:val="BodyText"/>
      </w:pPr>
      <w:hyperlink r:id="rId22">
        <w:r>
          <w:rPr>
            <w:rStyle w:val="Hyperlink"/>
          </w:rPr>
          <w:t xml:space="preserve">Удаления поля с</w:t>
        </w:r>
        <w:r>
          <w:rPr>
            <w:rStyle w:val="Hyperlink"/>
          </w:rPr>
          <w:t xml:space="preserve"> </w:t>
        </w:r>
        <w:r>
          <w:rPr>
            <w:rStyle w:val="Hyperlink"/>
          </w:rPr>
          <w:t xml:space="preserve">бизнес-объекта</w:t>
        </w:r>
      </w:hyperlink>
    </w:p>
    <w:p>
      <w:pPr>
        <w:pStyle w:val="BodyText"/>
      </w:pPr>
      <w:hyperlink r:id="rId23">
        <w:r>
          <w:rPr>
            <w:rStyle w:val="Hyperlink"/>
          </w:rPr>
          <w:t xml:space="preserve">Расширенные</w:t>
        </w:r>
        <w:r>
          <w:rPr>
            <w:rStyle w:val="Hyperlink"/>
          </w:rPr>
          <w:t xml:space="preserve"> </w:t>
        </w:r>
        <w:r>
          <w:rPr>
            <w:rStyle w:val="Hyperlink"/>
          </w:rPr>
          <w:t xml:space="preserve">настройки полей</w:t>
        </w:r>
      </w:hyperlink>
    </w:p>
    <w:p>
      <w:pPr>
        <w:pStyle w:val="Heading1"/>
      </w:pPr>
      <w:bookmarkStart w:id="24" w:name="виджеты"/>
      <w:r>
        <w:t xml:space="preserve">Виджеты</w:t>
      </w:r>
      <w:bookmarkEnd w:id="24"/>
    </w:p>
    <w:p>
      <w:pPr>
        <w:pStyle w:val="FirstParagraph"/>
      </w:pPr>
      <w:r>
        <w:t xml:space="preserve">Виджет – это маленькая программа, которая выполняет ту или иную</w:t>
      </w:r>
      <w:r>
        <w:t xml:space="preserve"> </w:t>
      </w:r>
      <w:r>
        <w:t xml:space="preserve">функцию. На момент написания документа присутствуют 2 вида</w:t>
      </w:r>
      <w:r>
        <w:t xml:space="preserve"> </w:t>
      </w:r>
      <w:r>
        <w:t xml:space="preserve">виджета:</w:t>
      </w:r>
    </w:p>
    <w:p>
      <w:pPr>
        <w:pStyle w:val="Compact"/>
        <w:numPr>
          <w:numId w:val="1001"/>
          <w:ilvl w:val="0"/>
        </w:numPr>
      </w:pPr>
      <w:r>
        <w:t xml:space="preserve">ЭЦП/СМС;</w:t>
      </w:r>
    </w:p>
    <w:p>
      <w:pPr>
        <w:pStyle w:val="Compact"/>
        <w:numPr>
          <w:numId w:val="1001"/>
          <w:ilvl w:val="0"/>
        </w:numPr>
      </w:pPr>
      <w:r>
        <w:t xml:space="preserve">Кнопка.</w:t>
      </w:r>
    </w:p>
    <w:p>
      <w:pPr>
        <w:pStyle w:val="Compact"/>
      </w:pPr>
      <w:r>
        <w:drawing>
          <wp:inline>
            <wp:extent cx="3327400" cy="1574800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01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7400" cy="1574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Heading1"/>
      </w:pPr>
      <w:bookmarkStart w:id="26" w:name="вкладки"/>
      <w:r>
        <w:t xml:space="preserve">Вкладки</w:t>
      </w:r>
      <w:bookmarkEnd w:id="26"/>
    </w:p>
    <w:p>
      <w:pPr>
        <w:pStyle w:val="FirstParagraph"/>
      </w:pPr>
      <w:r>
        <w:t xml:space="preserve">Вкладка - это элемент, который дает возможность группировать</w:t>
      </w:r>
      <w:r>
        <w:t xml:space="preserve"> </w:t>
      </w:r>
      <w:r>
        <w:t xml:space="preserve">поля по схожей логике. Каждая вкладка содержит разные группы полей.</w:t>
      </w:r>
      <w:r>
        <w:t xml:space="preserve"> </w:t>
      </w:r>
      <w:r>
        <w:t xml:space="preserve">В системе может быть неограниченное количество вкладок.</w:t>
      </w:r>
    </w:p>
    <w:p>
      <w:pPr>
        <w:pStyle w:val="BodyText"/>
      </w:pPr>
      <w:r>
        <w:drawing>
          <wp:inline>
            <wp:extent cx="5334000" cy="2739463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02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73946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Для добавления полей на вкладку, по двойному клику мыши нужно</w:t>
      </w:r>
      <w:r>
        <w:t xml:space="preserve"> </w:t>
      </w:r>
      <w:r>
        <w:t xml:space="preserve">выделить вкладку, после, с помощью drag&amp;drop перенести</w:t>
      </w:r>
      <w:r>
        <w:t xml:space="preserve"> </w:t>
      </w:r>
      <w:r>
        <w:t xml:space="preserve">необходимые поля из блока “элементы страницы” на вкладку.</w:t>
      </w:r>
    </w:p>
    <w:p>
      <w:pPr>
        <w:pStyle w:val="BodyText"/>
      </w:pPr>
      <w:r>
        <w:drawing>
          <wp:inline>
            <wp:extent cx="5334000" cy="2301290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03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30129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Чтобы добавить новую вкладку на страницу, нужно нажать на кнопку</w:t>
      </w:r>
      <w:r>
        <w:t xml:space="preserve"> </w:t>
      </w:r>
      <w:r>
        <w:drawing>
          <wp:inline>
            <wp:extent cx="254000" cy="304800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04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в области настройки</w:t>
      </w:r>
      <w:r>
        <w:t xml:space="preserve"> </w:t>
      </w:r>
      <w:r>
        <w:t xml:space="preserve">вкладок. В отобразившемся поле нужно ввести заголовок новой вкладки</w:t>
      </w:r>
      <w:r>
        <w:t xml:space="preserve"> </w:t>
      </w:r>
      <w:r>
        <w:t xml:space="preserve">и нажать на кнопку "Сохранить". В результате на страницу будет</w:t>
      </w:r>
      <w:r>
        <w:t xml:space="preserve"> </w:t>
      </w:r>
      <w:r>
        <w:t xml:space="preserve">добавлена новая пустая вкладка.</w:t>
      </w:r>
    </w:p>
    <w:p>
      <w:pPr>
        <w:pStyle w:val="BodyText"/>
      </w:pPr>
      <w:r>
        <w:drawing>
          <wp:inline>
            <wp:extent cx="5334000" cy="2339473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05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33947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Чтобы переместить поле из вкладки на страницу, нужно нажать на</w:t>
      </w:r>
      <w:r>
        <w:t xml:space="preserve"> </w:t>
      </w:r>
      <w:r>
        <w:t xml:space="preserve">кнопку “</w:t>
      </w:r>
      <w:r>
        <w:t xml:space="preserve"> </w:t>
      </w:r>
      <w:r>
        <w:drawing>
          <wp:inline>
            <wp:extent cx="457200" cy="381000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06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” в поле.</w:t>
      </w:r>
    </w:p>
    <w:p>
      <w:pPr>
        <w:pStyle w:val="BodyText"/>
      </w:pPr>
      <w:r>
        <w:t xml:space="preserve">Чтобы переместить поле из страницы во вкладку, нужно зажать</w:t>
      </w:r>
      <w:r>
        <w:t xml:space="preserve"> </w:t>
      </w:r>
      <w:r>
        <w:t xml:space="preserve">кнопку “</w:t>
      </w:r>
      <w:r>
        <w:drawing>
          <wp:inline>
            <wp:extent cx="368300" cy="381000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07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”, которая</w:t>
      </w:r>
      <w:r>
        <w:t xml:space="preserve"> </w:t>
      </w:r>
      <w:r>
        <w:t xml:space="preserve">отображается при наведении на поле и перетащить поле во</w:t>
      </w:r>
      <w:r>
        <w:t xml:space="preserve"> </w:t>
      </w:r>
      <w:r>
        <w:t xml:space="preserve">вкладку.</w:t>
      </w:r>
    </w:p>
    <w:p>
      <w:pPr>
        <w:pStyle w:val="BodyText"/>
      </w:pPr>
      <w:r>
        <w:t xml:space="preserve">Чтобы удалить одну из вкладок, нужно перейти на нее, а затем</w:t>
      </w:r>
      <w:r>
        <w:t xml:space="preserve"> </w:t>
      </w:r>
      <w:r>
        <w:t xml:space="preserve">нажать кнопку “</w:t>
      </w:r>
      <w:r>
        <w:drawing>
          <wp:inline>
            <wp:extent cx="355600" cy="342900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08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”</w:t>
      </w:r>
      <w:r>
        <w:t xml:space="preserve"> </w:t>
      </w:r>
      <w:r>
        <w:t xml:space="preserve">справа в области настроек вкладки, затем нажать “Да”.</w:t>
      </w:r>
    </w:p>
    <w:p>
      <w:pPr>
        <w:pStyle w:val="BodyText"/>
      </w:pPr>
      <w:r>
        <w:t xml:space="preserve">Чтобы удалить вкладку полностью, нужно нажать на кнопку “</w:t>
      </w:r>
      <w:r>
        <w:drawing>
          <wp:inline>
            <wp:extent cx="355600" cy="342900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09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” в правом верхнем углу</w:t>
      </w:r>
      <w:r>
        <w:t xml:space="preserve"> </w:t>
      </w:r>
      <w:r>
        <w:t xml:space="preserve">области вкладки, затем нажать “Да”.</w:t>
      </w:r>
    </w:p>
    <w:p>
      <w:pPr>
        <w:pStyle w:val="Heading2"/>
      </w:pPr>
      <w:bookmarkStart w:id="35" w:name="настройка-прав-доступа-на-вкладки"/>
      <w:r>
        <w:t xml:space="preserve">Настройка прав доступа на вкладки</w:t>
      </w:r>
      <w:bookmarkEnd w:id="35"/>
    </w:p>
    <w:p>
      <w:pPr>
        <w:pStyle w:val="FirstParagraph"/>
      </w:pPr>
      <w:r>
        <w:t xml:space="preserve">Доступ на просмотр по вкладкам можно разграничить как отдельным</w:t>
      </w:r>
      <w:r>
        <w:t xml:space="preserve"> </w:t>
      </w:r>
      <w:r>
        <w:t xml:space="preserve">пользователям и департаментам, так и группам пользователей</w:t>
      </w:r>
      <w:r>
        <w:t xml:space="preserve"> </w:t>
      </w:r>
      <w:r>
        <w:t xml:space="preserve">(ролям).</w:t>
      </w:r>
    </w:p>
    <w:p>
      <w:pPr>
        <w:pStyle w:val="BodyText"/>
      </w:pPr>
      <w:r>
        <w:t xml:space="preserve">Для того чтобы настроить права, нужно нажать на кнопку “</w:t>
      </w:r>
      <w:r>
        <w:drawing>
          <wp:inline>
            <wp:extent cx="355600" cy="342900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10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” в области настройки вкладок</w:t>
      </w:r>
      <w:r>
        <w:t xml:space="preserve"> </w:t>
      </w:r>
      <w:r>
        <w:t xml:space="preserve">справа. В отобразившемся окне нужно переключить бегунок на</w:t>
      </w:r>
      <w:r>
        <w:t xml:space="preserve"> </w:t>
      </w:r>
      <w:r>
        <w:t xml:space="preserve">“Выборочно”.</w:t>
      </w:r>
    </w:p>
    <w:p>
      <w:pPr>
        <w:pStyle w:val="BodyText"/>
      </w:pPr>
      <w:r>
        <w:drawing>
          <wp:inline>
            <wp:extent cx="5334000" cy="2543907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11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54390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Далее, нажать на кнопку “Выберите” и указать пользователей,</w:t>
      </w:r>
      <w:r>
        <w:t xml:space="preserve"> </w:t>
      </w:r>
      <w:r>
        <w:t xml:space="preserve">департаменты или группы пользователи (роли), которые получат доступ</w:t>
      </w:r>
      <w:r>
        <w:t xml:space="preserve"> </w:t>
      </w:r>
      <w:r>
        <w:t xml:space="preserve">на “Просмотр” данной вкладки.</w:t>
      </w:r>
    </w:p>
    <w:p>
      <w:pPr>
        <w:pStyle w:val="BodyText"/>
      </w:pPr>
      <w:r>
        <w:drawing>
          <wp:inline>
            <wp:extent cx="5334000" cy="3783145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12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78314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Heading2"/>
      </w:pPr>
      <w:bookmarkStart w:id="39" w:name="вкладки-во-вкладках"/>
      <w:r>
        <w:t xml:space="preserve">Вкладки во вкладках</w:t>
      </w:r>
      <w:bookmarkEnd w:id="39"/>
    </w:p>
    <w:p>
      <w:pPr>
        <w:pStyle w:val="FirstParagraph"/>
      </w:pPr>
      <w:r>
        <w:t xml:space="preserve">Вкладка во вкладке - это элемент, который дает возможность</w:t>
      </w:r>
      <w:r>
        <w:t xml:space="preserve"> </w:t>
      </w:r>
      <w:r>
        <w:t xml:space="preserve">группировать поля по схожей логике. Каждая вкладка содержит разные</w:t>
      </w:r>
      <w:r>
        <w:t xml:space="preserve"> </w:t>
      </w:r>
      <w:r>
        <w:t xml:space="preserve">группы полей. В системе может быть неограниченное количество</w:t>
      </w:r>
      <w:r>
        <w:t xml:space="preserve"> </w:t>
      </w:r>
      <w:r>
        <w:t xml:space="preserve">вкладок. Пример добавления вкладок показан ниже:</w:t>
      </w:r>
    </w:p>
    <w:p>
      <w:pPr>
        <w:pStyle w:val="BodyText"/>
      </w:pPr>
      <w:r>
        <w:drawing>
          <wp:inline>
            <wp:extent cx="5334000" cy="3255190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13.gif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25519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Heading1"/>
      </w:pPr>
      <w:bookmarkStart w:id="41" w:name="вложенные-объекты"/>
      <w:r>
        <w:t xml:space="preserve">Вложенные объекты</w:t>
      </w:r>
      <w:bookmarkEnd w:id="41"/>
    </w:p>
    <w:p>
      <w:pPr>
        <w:pStyle w:val="FirstParagraph"/>
      </w:pPr>
      <w:r>
        <w:t xml:space="preserve">Вложенный объект — это элемент страницы, на котором представлены</w:t>
      </w:r>
      <w:r>
        <w:t xml:space="preserve"> </w:t>
      </w:r>
      <w:r>
        <w:t xml:space="preserve">записи объекта, связанного с текущей записью. Вложенные объекты</w:t>
      </w:r>
      <w:r>
        <w:t xml:space="preserve"> </w:t>
      </w:r>
      <w:r>
        <w:t xml:space="preserve">используются, когда на странице записи необходимо отобразить данные</w:t>
      </w:r>
      <w:r>
        <w:t xml:space="preserve"> </w:t>
      </w:r>
      <w:r>
        <w:t xml:space="preserve">из другой сущности, которые связаны с текущей записью. Например,</w:t>
      </w:r>
      <w:r>
        <w:t xml:space="preserve"> </w:t>
      </w:r>
      <w:r>
        <w:t xml:space="preserve">все мероприятия созданных по договору отображались на карточке</w:t>
      </w:r>
      <w:r>
        <w:t xml:space="preserve"> </w:t>
      </w:r>
      <w:r>
        <w:t xml:space="preserve">Договора.</w:t>
      </w:r>
    </w:p>
    <w:p>
      <w:pPr>
        <w:pStyle w:val="BodyText"/>
      </w:pPr>
      <w:r>
        <w:t xml:space="preserve">Для того чтобы добавить “Вложенный объект” на карточку объекта,</w:t>
      </w:r>
      <w:r>
        <w:t xml:space="preserve"> </w:t>
      </w:r>
      <w:r>
        <w:t xml:space="preserve">с помощью drag&amp;drop нужно перетащить объект (сущность) из блока</w:t>
      </w:r>
      <w:r>
        <w:t xml:space="preserve"> </w:t>
      </w:r>
      <w:r>
        <w:t xml:space="preserve">“Бизнес” на область карточки, и при необходимости изменить</w:t>
      </w:r>
      <w:r>
        <w:t xml:space="preserve"> </w:t>
      </w:r>
      <w:r>
        <w:t xml:space="preserve">заголовок.</w:t>
      </w:r>
    </w:p>
    <w:p>
      <w:pPr>
        <w:pStyle w:val="BodyText"/>
      </w:pPr>
      <w:r>
        <w:drawing>
          <wp:inline>
            <wp:extent cx="5334000" cy="2708706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14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70870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Для настройки перечня полей нужно нажать на кнопку “</w:t>
      </w:r>
      <w:r>
        <w:drawing>
          <wp:inline>
            <wp:extent cx="393700" cy="393700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15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00" cy="393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” в таблице справа и выбрать</w:t>
      </w:r>
      <w:r>
        <w:t xml:space="preserve"> </w:t>
      </w:r>
      <w:r>
        <w:t xml:space="preserve">необходимые поля.</w:t>
      </w:r>
    </w:p>
    <w:p>
      <w:pPr>
        <w:pStyle w:val="BodyText"/>
      </w:pPr>
      <w:r>
        <w:drawing>
          <wp:inline>
            <wp:extent cx="5334000" cy="1570124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16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57012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Для того чтобы указать расширенные настройки, нужно нажать на</w:t>
      </w:r>
      <w:r>
        <w:t xml:space="preserve"> </w:t>
      </w:r>
      <w:r>
        <w:t xml:space="preserve">кнопку “</w:t>
      </w:r>
      <w:r>
        <w:drawing>
          <wp:inline>
            <wp:extent cx="393700" cy="393700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17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00" cy="393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” в верхнем углу</w:t>
      </w:r>
      <w:r>
        <w:t xml:space="preserve"> </w:t>
      </w:r>
      <w:r>
        <w:t xml:space="preserve">таблицы.</w:t>
      </w:r>
    </w:p>
    <w:p>
      <w:pPr>
        <w:pStyle w:val="BodyText"/>
      </w:pPr>
      <w:r>
        <w:drawing>
          <wp:inline>
            <wp:extent cx="5334000" cy="2167213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18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16721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Compact"/>
        <w:numPr>
          <w:numId w:val="1002"/>
          <w:ilvl w:val="0"/>
        </w:numPr>
      </w:pPr>
      <w:r>
        <w:t xml:space="preserve">Необходимо заполнить - призрак обязательности;</w:t>
      </w:r>
    </w:p>
    <w:p>
      <w:pPr>
        <w:pStyle w:val="Compact"/>
        <w:numPr>
          <w:numId w:val="1002"/>
          <w:ilvl w:val="0"/>
        </w:numPr>
      </w:pPr>
      <w:r>
        <w:t xml:space="preserve">Только для чтения - поле недоступно для редактирования для всех</w:t>
      </w:r>
      <w:r>
        <w:t xml:space="preserve"> </w:t>
      </w:r>
      <w:r>
        <w:t xml:space="preserve">пользователей системы;</w:t>
      </w:r>
    </w:p>
    <w:p>
      <w:pPr>
        <w:pStyle w:val="Compact"/>
        <w:numPr>
          <w:numId w:val="1002"/>
          <w:ilvl w:val="0"/>
        </w:numPr>
      </w:pPr>
      <w:r>
        <w:t xml:space="preserve">Уникальное поле - значение поля будет являться уникальным в</w:t>
      </w:r>
      <w:r>
        <w:t xml:space="preserve"> </w:t>
      </w:r>
      <w:r>
        <w:t xml:space="preserve">рамках одного объекта (сущности);</w:t>
      </w:r>
    </w:p>
    <w:p>
      <w:pPr>
        <w:pStyle w:val="Compact"/>
        <w:numPr>
          <w:numId w:val="1002"/>
          <w:ilvl w:val="0"/>
        </w:numPr>
      </w:pPr>
      <w:r>
        <w:t xml:space="preserve">Выбор/Добавление - возможность выбора из существующих записей,</w:t>
      </w:r>
      <w:r>
        <w:t xml:space="preserve"> </w:t>
      </w:r>
      <w:r>
        <w:t xml:space="preserve">а также добавление новой записи;</w:t>
      </w:r>
    </w:p>
    <w:p>
      <w:pPr>
        <w:pStyle w:val="Compact"/>
        <w:numPr>
          <w:numId w:val="1002"/>
          <w:ilvl w:val="0"/>
        </w:numPr>
      </w:pPr>
      <w:r>
        <w:t xml:space="preserve">Только добавление - добавление новой записи;</w:t>
      </w:r>
    </w:p>
    <w:p>
      <w:pPr>
        <w:pStyle w:val="Compact"/>
        <w:numPr>
          <w:numId w:val="1002"/>
          <w:ilvl w:val="0"/>
        </w:numPr>
      </w:pPr>
      <w:r>
        <w:t xml:space="preserve">Табличный - отображение записей в табличном виде, по умолчанию</w:t>
      </w:r>
      <w:r>
        <w:t xml:space="preserve"> </w:t>
      </w:r>
      <w:r>
        <w:t xml:space="preserve">выбран табличный вид;</w:t>
      </w:r>
    </w:p>
    <w:p>
      <w:pPr>
        <w:pStyle w:val="Compact"/>
        <w:numPr>
          <w:numId w:val="1002"/>
          <w:ilvl w:val="0"/>
        </w:numPr>
      </w:pPr>
      <w:r>
        <w:t xml:space="preserve">Множественный - отображение записей в виде чипов возможностью</w:t>
      </w:r>
      <w:r>
        <w:t xml:space="preserve"> </w:t>
      </w:r>
      <w:r>
        <w:t xml:space="preserve">выбора или добавления больше 1 записи;</w:t>
      </w:r>
    </w:p>
    <w:p>
      <w:pPr>
        <w:pStyle w:val="Compact"/>
        <w:numPr>
          <w:numId w:val="1002"/>
          <w:ilvl w:val="0"/>
        </w:numPr>
      </w:pPr>
      <w:r>
        <w:t xml:space="preserve">Одиночный - отображение записей в виде чипов возможностью</w:t>
      </w:r>
      <w:r>
        <w:t xml:space="preserve"> </w:t>
      </w:r>
      <w:r>
        <w:t xml:space="preserve">выбора или добавления только 1 записи; Отобразить значения:</w:t>
      </w:r>
    </w:p>
    <w:p>
      <w:pPr>
        <w:pStyle w:val="Compact"/>
        <w:numPr>
          <w:numId w:val="1003"/>
          <w:ilvl w:val="0"/>
        </w:numPr>
      </w:pPr>
      <w:r>
        <w:t xml:space="preserve">Других списков - записи будут отфильтрованы в соответствии с</w:t>
      </w:r>
      <w:r>
        <w:t xml:space="preserve"> </w:t>
      </w:r>
      <w:r>
        <w:t xml:space="preserve">записями, которые были добавлены в объекты, где объект является</w:t>
      </w:r>
      <w:r>
        <w:t xml:space="preserve"> </w:t>
      </w:r>
      <w:r>
        <w:t xml:space="preserve">вложенным объектом;</w:t>
      </w:r>
    </w:p>
    <w:p>
      <w:pPr>
        <w:pStyle w:val="Compact"/>
        <w:numPr>
          <w:numId w:val="1003"/>
          <w:ilvl w:val="0"/>
        </w:numPr>
      </w:pPr>
      <w:r>
        <w:t xml:space="preserve">С фильтром - записи будут отфильтрованы в соответствии с</w:t>
      </w:r>
      <w:r>
        <w:t xml:space="preserve"> </w:t>
      </w:r>
      <w:r>
        <w:t xml:space="preserve">указанным фильтром при выборе записей;</w:t>
      </w:r>
    </w:p>
    <w:p>
      <w:pPr>
        <w:pStyle w:val="FirstParagraph"/>
      </w:pPr>
      <w:r>
        <w:drawing>
          <wp:inline>
            <wp:extent cx="5105400" cy="6057900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19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60579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Compact"/>
        <w:numPr>
          <w:numId w:val="1004"/>
          <w:ilvl w:val="0"/>
        </w:numPr>
      </w:pPr>
      <w:r>
        <w:t xml:space="preserve">Связь объектов Наименование объекта/Наименование объекта (для</w:t>
      </w:r>
      <w:r>
        <w:t xml:space="preserve"> </w:t>
      </w:r>
      <w:r>
        <w:t xml:space="preserve">выбранных объектов База знаний):</w:t>
      </w:r>
    </w:p>
    <w:p>
      <w:pPr>
        <w:pStyle w:val="FirstParagraph"/>
      </w:pPr>
      <w:r>
        <w:t xml:space="preserve">Ничего не заполнять - связи между записями объектов не</w:t>
      </w:r>
      <w:r>
        <w:t xml:space="preserve"> </w:t>
      </w:r>
      <w:r>
        <w:t xml:space="preserve">указывается, по умолчания выбрано ничего не заполнять; Заполнить</w:t>
      </w:r>
      <w:r>
        <w:t xml:space="preserve"> </w:t>
      </w:r>
      <w:r>
        <w:t xml:space="preserve">поле “Наименование объекта” - указывается связь между записями</w:t>
      </w:r>
      <w:r>
        <w:t xml:space="preserve"> </w:t>
      </w:r>
      <w:r>
        <w:t xml:space="preserve">объектов. Доступно только тогда, когда оба объекта являются</w:t>
      </w:r>
      <w:r>
        <w:t xml:space="preserve"> </w:t>
      </w:r>
      <w:r>
        <w:t xml:space="preserve">вложенными объектами на страницах объектов.</w:t>
      </w:r>
    </w:p>
    <w:p>
      <w:pPr>
        <w:pStyle w:val="BodyText"/>
      </w:pPr>
      <w:r>
        <w:drawing>
          <wp:inline>
            <wp:extent cx="5334000" cy="2717905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20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71790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Примечание. Объект “Заявки” является вложенным объектом в</w:t>
      </w:r>
      <w:r>
        <w:t xml:space="preserve"> </w:t>
      </w:r>
      <w:r>
        <w:t xml:space="preserve">объекте “База знаний”.</w:t>
      </w:r>
    </w:p>
    <w:p>
      <w:pPr>
        <w:pStyle w:val="BodyText"/>
      </w:pPr>
      <w:r>
        <w:t xml:space="preserve">Чтобы удалить вложенный объект, нужно нажать на кнопку “</w:t>
      </w:r>
      <w:r>
        <w:drawing>
          <wp:inline>
            <wp:extent cx="333375" cy="353277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21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5327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” в верхнем углу</w:t>
      </w:r>
      <w:r>
        <w:t xml:space="preserve"> </w:t>
      </w:r>
      <w:r>
        <w:t xml:space="preserve">таблицы, затем нажать “Да”.</w:t>
      </w:r>
    </w:p>
    <w:p>
      <w:pPr>
        <w:pStyle w:val="Heading1"/>
      </w:pPr>
      <w:bookmarkStart w:id="50" w:name="настройка-вида-карточки"/>
      <w:r>
        <w:t xml:space="preserve">Настройка вида карточки</w:t>
      </w:r>
      <w:bookmarkEnd w:id="50"/>
    </w:p>
    <w:p>
      <w:pPr>
        <w:pStyle w:val="FirstParagraph"/>
      </w:pPr>
      <w:r>
        <w:t xml:space="preserve">В системе, можно настроить вид карточки изменив расположение и</w:t>
      </w:r>
      <w:r>
        <w:t xml:space="preserve"> </w:t>
      </w:r>
      <w:r>
        <w:t xml:space="preserve">размеры полей, а также размер самой карточки.</w:t>
      </w:r>
    </w:p>
    <w:p>
      <w:pPr>
        <w:pStyle w:val="BodyText"/>
      </w:pPr>
      <w:r>
        <w:t xml:space="preserve">Расположение полей можно изменить, с помощью кнопки</w:t>
      </w:r>
      <w:r>
        <w:t xml:space="preserve"> </w:t>
      </w:r>
      <w:r>
        <w:t xml:space="preserve">“Переместить”, которая расположена в левом верхнем углу поля. Нужно</w:t>
      </w:r>
      <w:r>
        <w:t xml:space="preserve"> </w:t>
      </w:r>
      <w:r>
        <w:t xml:space="preserve">нажать на кнопку “Переместить” и не отпуская переместить поле в</w:t>
      </w:r>
      <w:r>
        <w:t xml:space="preserve"> </w:t>
      </w:r>
      <w:r>
        <w:t xml:space="preserve">нужную область карточки.</w:t>
      </w:r>
    </w:p>
    <w:p>
      <w:pPr>
        <w:pStyle w:val="BodyText"/>
      </w:pPr>
      <w:r>
        <w:t xml:space="preserve">Для изменения ширины поля нужно захватить мышью край</w:t>
      </w:r>
      <w:r>
        <w:t xml:space="preserve"> </w:t>
      </w:r>
      <w:r>
        <w:t xml:space="preserve">соответствующего поля и задать нужную ширину. В текстовом блоке, во</w:t>
      </w:r>
      <w:r>
        <w:t xml:space="preserve"> </w:t>
      </w:r>
      <w:r>
        <w:t xml:space="preserve">вкладках и вложенных объектах можно изменить высоту.</w:t>
      </w:r>
    </w:p>
    <w:p>
      <w:pPr>
        <w:pStyle w:val="BodyText"/>
      </w:pPr>
      <w:r>
        <w:t xml:space="preserve">Размер самой карточки настраивается также, как настройки ширины</w:t>
      </w:r>
      <w:r>
        <w:t xml:space="preserve"> </w:t>
      </w:r>
      <w:r>
        <w:t xml:space="preserve">поля. Для того чтобы настроить размер карточки, нужно нажать на</w:t>
      </w:r>
      <w:r>
        <w:t xml:space="preserve"> </w:t>
      </w:r>
      <w:r>
        <w:t xml:space="preserve">кнопку “</w:t>
      </w:r>
      <w:r>
        <w:drawing>
          <wp:inline>
            <wp:extent cx="622300" cy="495300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22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0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” в правом верхнему углу</w:t>
      </w:r>
      <w:r>
        <w:t xml:space="preserve"> </w:t>
      </w:r>
      <w:r>
        <w:t xml:space="preserve">страницы.</w:t>
      </w:r>
    </w:p>
    <w:p>
      <w:pPr>
        <w:pStyle w:val="BodyText"/>
      </w:pPr>
      <w:r>
        <w:t xml:space="preserve">В открывшейся странице захватить мышью край окна и задать нужную</w:t>
      </w:r>
      <w:r>
        <w:t xml:space="preserve"> </w:t>
      </w:r>
      <w:r>
        <w:t xml:space="preserve">ширину и высоту карточки, затем закрыть страницу, изменения будут</w:t>
      </w:r>
      <w:r>
        <w:t xml:space="preserve"> </w:t>
      </w:r>
      <w:r>
        <w:t xml:space="preserve">сохранены мгновенно.</w:t>
      </w:r>
    </w:p>
    <w:p>
      <w:pPr>
        <w:pStyle w:val="BodyText"/>
      </w:pPr>
      <w:r>
        <w:drawing>
          <wp:inline>
            <wp:extent cx="5334000" cy="4454414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23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45441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Пример изменения вида объекта:</w:t>
      </w:r>
    </w:p>
    <w:p>
      <w:pPr>
        <w:pStyle w:val="BodyText"/>
      </w:pPr>
      <w:r>
        <w:drawing>
          <wp:inline>
            <wp:extent cx="5334000" cy="2546096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24.gif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54609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Heading1"/>
      </w:pPr>
      <w:bookmarkStart w:id="54" w:name="настройка-вида-отображения"/>
      <w:r>
        <w:t xml:space="preserve">Настройка вида отображения</w:t>
      </w:r>
      <w:bookmarkEnd w:id="54"/>
    </w:p>
    <w:p>
      <w:pPr>
        <w:pStyle w:val="FirstParagraph"/>
      </w:pPr>
      <w:r>
        <w:t xml:space="preserve">Для удобного визуального представления данных в объектах, в</w:t>
      </w:r>
      <w:r>
        <w:t xml:space="preserve"> </w:t>
      </w:r>
      <w:r>
        <w:t xml:space="preserve">системе доступна настройка видов отображении:</w:t>
      </w:r>
    </w:p>
    <w:p>
      <w:pPr>
        <w:pStyle w:val="Compact"/>
        <w:numPr>
          <w:numId w:val="1005"/>
          <w:ilvl w:val="0"/>
        </w:numPr>
      </w:pPr>
      <w:hyperlink r:id="rId55">
        <w:r>
          <w:rPr>
            <w:rStyle w:val="Hyperlink"/>
          </w:rPr>
          <w:t xml:space="preserve">реестр</w:t>
        </w:r>
      </w:hyperlink>
      <w:r>
        <w:t xml:space="preserve">;</w:t>
      </w:r>
    </w:p>
    <w:p>
      <w:pPr>
        <w:pStyle w:val="Compact"/>
        <w:numPr>
          <w:numId w:val="1005"/>
          <w:ilvl w:val="0"/>
        </w:numPr>
      </w:pPr>
      <w:hyperlink r:id="rId56">
        <w:r>
          <w:rPr>
            <w:rStyle w:val="Hyperlink"/>
          </w:rPr>
          <w:t xml:space="preserve">канбан</w:t>
        </w:r>
      </w:hyperlink>
      <w:r>
        <w:t xml:space="preserve">;</w:t>
      </w:r>
    </w:p>
    <w:p>
      <w:pPr>
        <w:pStyle w:val="Compact"/>
        <w:numPr>
          <w:numId w:val="1005"/>
          <w:ilvl w:val="0"/>
        </w:numPr>
      </w:pPr>
      <w:hyperlink r:id="rId57">
        <w:r>
          <w:rPr>
            <w:rStyle w:val="Hyperlink"/>
          </w:rPr>
          <w:t xml:space="preserve">календарь</w:t>
        </w:r>
      </w:hyperlink>
      <w:r>
        <w:t xml:space="preserve">;</w:t>
      </w:r>
    </w:p>
    <w:p>
      <w:pPr>
        <w:pStyle w:val="Compact"/>
        <w:numPr>
          <w:numId w:val="1005"/>
          <w:ilvl w:val="0"/>
        </w:numPr>
      </w:pPr>
      <w:hyperlink r:id="rId58">
        <w:r>
          <w:rPr>
            <w:rStyle w:val="Hyperlink"/>
          </w:rPr>
          <w:t xml:space="preserve">карта</w:t>
        </w:r>
      </w:hyperlink>
      <w:r>
        <w:t xml:space="preserve">;</w:t>
      </w:r>
    </w:p>
    <w:p>
      <w:pPr>
        <w:pStyle w:val="Compact"/>
        <w:numPr>
          <w:numId w:val="1005"/>
          <w:ilvl w:val="0"/>
        </w:numPr>
      </w:pPr>
      <w:hyperlink r:id="rId59">
        <w:r>
          <w:rPr>
            <w:rStyle w:val="Hyperlink"/>
          </w:rPr>
          <w:t xml:space="preserve">диаграмма</w:t>
        </w:r>
        <w:r>
          <w:rPr>
            <w:rStyle w:val="Hyperlink"/>
          </w:rPr>
          <w:t xml:space="preserve"> </w:t>
        </w:r>
        <w:r>
          <w:rPr>
            <w:rStyle w:val="Hyperlink"/>
          </w:rPr>
          <w:t xml:space="preserve">Ганта</w:t>
        </w:r>
      </w:hyperlink>
      <w:r>
        <w:t xml:space="preserve">.</w:t>
      </w:r>
    </w:p>
    <w:p>
      <w:pPr>
        <w:pStyle w:val="Heading1"/>
      </w:pPr>
      <w:bookmarkStart w:id="60" w:name="контекстное-меню"/>
      <w:r>
        <w:t xml:space="preserve">Контекстное меню</w:t>
      </w:r>
      <w:bookmarkEnd w:id="60"/>
    </w:p>
    <w:p>
      <w:pPr>
        <w:pStyle w:val="FirstParagraph"/>
      </w:pPr>
      <w:r>
        <w:t xml:space="preserve">В каждом объекте (сущности) находятся подменю, в котором</w:t>
      </w:r>
      <w:r>
        <w:t xml:space="preserve"> </w:t>
      </w:r>
      <w:r>
        <w:t xml:space="preserve">сгруппированы функции, которые можно применить ко всем объектам</w:t>
      </w:r>
      <w:r>
        <w:t xml:space="preserve"> </w:t>
      </w:r>
      <w:r>
        <w:t xml:space="preserve">(сущностям). Этот раздел называется контекстным меню. На момент</w:t>
      </w:r>
      <w:r>
        <w:t xml:space="preserve"> </w:t>
      </w:r>
      <w:r>
        <w:t xml:space="preserve">написания документа в контекстном меню присутствуют разделы:</w:t>
      </w:r>
    </w:p>
    <w:p>
      <w:pPr>
        <w:numPr>
          <w:numId w:val="1006"/>
          <w:ilvl w:val="0"/>
        </w:numPr>
      </w:pPr>
      <w:hyperlink r:id="rId61">
        <w:r>
          <w:rPr>
            <w:rStyle w:val="Hyperlink"/>
          </w:rPr>
          <w:t xml:space="preserve">Печатные формы;</w:t>
        </w:r>
      </w:hyperlink>
    </w:p>
    <w:p>
      <w:pPr>
        <w:numPr>
          <w:numId w:val="1006"/>
          <w:ilvl w:val="0"/>
        </w:numPr>
      </w:pPr>
      <w:hyperlink r:id="rId62">
        <w:r>
          <w:rPr>
            <w:rStyle w:val="Hyperlink"/>
          </w:rPr>
          <w:t xml:space="preserve">Участники;</w:t>
        </w:r>
      </w:hyperlink>
    </w:p>
    <w:p>
      <w:pPr>
        <w:numPr>
          <w:numId w:val="1006"/>
          <w:ilvl w:val="0"/>
        </w:numPr>
      </w:pPr>
      <w:hyperlink r:id="rId63">
        <w:r>
          <w:rPr>
            <w:rStyle w:val="Hyperlink"/>
          </w:rPr>
          <w:t xml:space="preserve">Чат;</w:t>
        </w:r>
      </w:hyperlink>
    </w:p>
    <w:p>
      <w:pPr>
        <w:numPr>
          <w:numId w:val="1006"/>
          <w:ilvl w:val="0"/>
        </w:numPr>
      </w:pPr>
      <w:hyperlink r:id="rId64">
        <w:r>
          <w:rPr>
            <w:rStyle w:val="Hyperlink"/>
          </w:rPr>
          <w:t xml:space="preserve">Документы;</w:t>
        </w:r>
      </w:hyperlink>
    </w:p>
    <w:p>
      <w:pPr>
        <w:numPr>
          <w:numId w:val="1006"/>
          <w:ilvl w:val="0"/>
        </w:numPr>
      </w:pPr>
      <w:hyperlink r:id="rId65">
        <w:r>
          <w:rPr>
            <w:rStyle w:val="Hyperlink"/>
          </w:rPr>
          <w:t xml:space="preserve">История</w:t>
        </w:r>
        <w:r>
          <w:rPr>
            <w:rStyle w:val="Hyperlink"/>
          </w:rPr>
          <w:t xml:space="preserve"> </w:t>
        </w:r>
        <w:r>
          <w:rPr>
            <w:rStyle w:val="Hyperlink"/>
          </w:rPr>
          <w:t xml:space="preserve">изменения объекта (сущности)</w:t>
        </w:r>
      </w:hyperlink>
    </w:p>
    <w:p>
      <w:pPr>
        <w:pStyle w:val="Heading1"/>
      </w:pPr>
      <w:bookmarkStart w:id="66" w:name="настройка-бокового-меню"/>
      <w:r>
        <w:t xml:space="preserve">Настройка Бокового Меню</w:t>
      </w:r>
      <w:bookmarkEnd w:id="66"/>
    </w:p>
    <w:p>
      <w:pPr>
        <w:pStyle w:val="FirstParagraph"/>
      </w:pPr>
      <w:r>
        <w:t xml:space="preserve">В Меню можно вывести основные объекты, которым необходим</w:t>
      </w:r>
      <w:r>
        <w:t xml:space="preserve"> </w:t>
      </w:r>
      <w:r>
        <w:t xml:space="preserve">мгновенный доступ. По умолчанию, меню отображается в раскрытом</w:t>
      </w:r>
      <w:r>
        <w:t xml:space="preserve"> </w:t>
      </w:r>
      <w:r>
        <w:t xml:space="preserve">виде, как показано на рисунке.</w:t>
      </w:r>
    </w:p>
    <w:p>
      <w:pPr>
        <w:pStyle w:val="BodyText"/>
      </w:pPr>
      <w:r>
        <w:drawing>
          <wp:inline>
            <wp:extent cx="5334000" cy="1626479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25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62647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Меню</w:t>
      </w:r>
    </w:p>
    <w:p>
      <w:pPr>
        <w:pStyle w:val="BodyText"/>
      </w:pPr>
      <w:r>
        <w:t xml:space="preserve">По мере необходимости, меню можно скрыть по нажатию на кнопку</w:t>
      </w:r>
      <w:r>
        <w:t xml:space="preserve"> </w:t>
      </w:r>
      <w:r>
        <w:t xml:space="preserve">“</w:t>
      </w:r>
      <w:r>
        <w:drawing>
          <wp:inline>
            <wp:extent cx="333375" cy="307445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26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0744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” в левом</w:t>
      </w:r>
      <w:r>
        <w:t xml:space="preserve"> </w:t>
      </w:r>
      <w:r>
        <w:t xml:space="preserve">верхнем углу.</w:t>
      </w:r>
    </w:p>
    <w:p>
      <w:pPr>
        <w:pStyle w:val="BodyText"/>
      </w:pPr>
      <w:r>
        <w:drawing>
          <wp:inline>
            <wp:extent cx="5334000" cy="3194602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27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19460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Меню в скрытом виде</w:t>
      </w:r>
    </w:p>
    <w:p>
      <w:pPr>
        <w:pStyle w:val="BodyText"/>
      </w:pPr>
      <w:r>
        <w:t xml:space="preserve">В скрытом виде меню, при наведении на иконку объекта, список</w:t>
      </w:r>
      <w:r>
        <w:t xml:space="preserve"> </w:t>
      </w:r>
      <w:r>
        <w:t xml:space="preserve">объектов отобразиться в раскрытом виде. После перехода на нужный</w:t>
      </w:r>
      <w:r>
        <w:t xml:space="preserve"> </w:t>
      </w:r>
      <w:r>
        <w:t xml:space="preserve">объект, меню скроется.</w:t>
      </w:r>
    </w:p>
    <w:p>
      <w:pPr>
        <w:pStyle w:val="BodyText"/>
      </w:pPr>
      <w:r>
        <w:drawing>
          <wp:inline>
            <wp:extent cx="5334000" cy="6649514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28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664951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Наведение на меню в скрытом виде</w:t>
      </w:r>
    </w:p>
    <w:p>
      <w:pPr>
        <w:pStyle w:val="Heading2"/>
      </w:pPr>
      <w:bookmarkStart w:id="71" w:name="добавление-нового-меню"/>
      <w:r>
        <w:t xml:space="preserve">Добавление нового меню</w:t>
      </w:r>
      <w:bookmarkEnd w:id="71"/>
    </w:p>
    <w:p>
      <w:pPr>
        <w:pStyle w:val="FirstParagraph"/>
      </w:pPr>
      <w:r>
        <w:t xml:space="preserve">Для добавления объекты в меню, в режиме администрирования бизнес</w:t>
      </w:r>
      <w:r>
        <w:t xml:space="preserve"> </w:t>
      </w:r>
      <w:r>
        <w:t xml:space="preserve">объектов нужно выбрать объект и с помощью drag&amp;drop перетащить</w:t>
      </w:r>
      <w:r>
        <w:t xml:space="preserve"> </w:t>
      </w:r>
      <w:r>
        <w:t xml:space="preserve">в меню.</w:t>
      </w:r>
    </w:p>
    <w:p>
      <w:pPr>
        <w:pStyle w:val="BodyText"/>
      </w:pPr>
      <w:r>
        <w:drawing>
          <wp:inline>
            <wp:extent cx="5334000" cy="2459468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29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45946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Добавление нового меню</w:t>
      </w:r>
    </w:p>
    <w:p>
      <w:pPr>
        <w:pStyle w:val="Heading2"/>
      </w:pPr>
      <w:bookmarkStart w:id="73" w:name="настройка-местоположения-меню"/>
      <w:r>
        <w:t xml:space="preserve">Настройка местоположения меню</w:t>
      </w:r>
      <w:bookmarkEnd w:id="73"/>
    </w:p>
    <w:p>
      <w:pPr>
        <w:pStyle w:val="FirstParagraph"/>
      </w:pPr>
      <w:r>
        <w:t xml:space="preserve">Для изменения местоположения объекта в меню, с помощью</w:t>
      </w:r>
      <w:r>
        <w:t xml:space="preserve"> </w:t>
      </w:r>
      <w:r>
        <w:t xml:space="preserve">drag&amp;drop нужно переместить в нужное место. Местоположение меню</w:t>
      </w:r>
      <w:r>
        <w:t xml:space="preserve"> </w:t>
      </w:r>
      <w:r>
        <w:t xml:space="preserve">можно менять даже в режиме работы в системе.</w:t>
      </w:r>
    </w:p>
    <w:p>
      <w:pPr>
        <w:pStyle w:val="BodyText"/>
      </w:pPr>
      <w:r>
        <w:drawing>
          <wp:inline>
            <wp:extent cx="5334000" cy="2485961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30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48596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Настройка местоположения меню</w:t>
      </w:r>
    </w:p>
    <w:p>
      <w:pPr>
        <w:pStyle w:val="Heading2"/>
      </w:pPr>
      <w:bookmarkStart w:id="75" w:name="переименование-меню"/>
      <w:r>
        <w:t xml:space="preserve">Переименование меню</w:t>
      </w:r>
      <w:bookmarkEnd w:id="75"/>
    </w:p>
    <w:p>
      <w:pPr>
        <w:pStyle w:val="FirstParagraph"/>
      </w:pPr>
      <w:r>
        <w:t xml:space="preserve">Для того чтобы переименовать меню, нужно выбрать объект, нажать</w:t>
      </w:r>
      <w:r>
        <w:t xml:space="preserve"> </w:t>
      </w:r>
      <w:r>
        <w:t xml:space="preserve">на кнопку “⋮” рядом с наименованием меню, далее нажать кнопку</w:t>
      </w:r>
      <w:r>
        <w:t xml:space="preserve"> </w:t>
      </w:r>
      <w:r>
        <w:t xml:space="preserve">“Переименовать”.</w:t>
      </w:r>
    </w:p>
    <w:p>
      <w:pPr>
        <w:pStyle w:val="BodyText"/>
      </w:pPr>
      <w:r>
        <w:drawing>
          <wp:inline>
            <wp:extent cx="5334000" cy="4398923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31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39892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Переименование меню</w:t>
      </w:r>
    </w:p>
    <w:p>
      <w:pPr>
        <w:pStyle w:val="BodyText"/>
      </w:pPr>
      <w:r>
        <w:t xml:space="preserve">В поле “Изменение названия” нужно заполнить новое название меню,</w:t>
      </w:r>
      <w:r>
        <w:t xml:space="preserve"> </w:t>
      </w:r>
      <w:r>
        <w:t xml:space="preserve">затем нажать сохранить.</w:t>
      </w:r>
    </w:p>
    <w:p>
      <w:pPr>
        <w:pStyle w:val="BodyText"/>
      </w:pPr>
      <w:r>
        <w:drawing>
          <wp:inline>
            <wp:extent cx="5334000" cy="2487235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32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48723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Новое название меню</w:t>
      </w:r>
    </w:p>
    <w:p>
      <w:pPr>
        <w:pStyle w:val="BodyText"/>
      </w:pPr>
      <w:r>
        <w:t xml:space="preserve">Примечание. Переименование меню будет отображено только в меню,</w:t>
      </w:r>
      <w:r>
        <w:t xml:space="preserve"> </w:t>
      </w:r>
      <w:r>
        <w:t xml:space="preserve">наименование объекта будет прежним.</w:t>
      </w:r>
    </w:p>
    <w:p>
      <w:pPr>
        <w:pStyle w:val="BodyText"/>
      </w:pPr>
      <w:r>
        <w:drawing>
          <wp:inline>
            <wp:extent cx="5334000" cy="1091527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33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09152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Heading2"/>
      </w:pPr>
      <w:bookmarkStart w:id="79" w:name="настройка-прав-доступа-на-меню"/>
      <w:r>
        <w:t xml:space="preserve">Настройка прав доступа на меню</w:t>
      </w:r>
      <w:bookmarkEnd w:id="79"/>
    </w:p>
    <w:p>
      <w:pPr>
        <w:pStyle w:val="FirstParagraph"/>
      </w:pPr>
      <w:r>
        <w:t xml:space="preserve">Доступ на просмотр на меню можно разграничить как отдельным</w:t>
      </w:r>
      <w:r>
        <w:t xml:space="preserve"> </w:t>
      </w:r>
      <w:r>
        <w:t xml:space="preserve">пользователям и департаментам, так и группам пользователей</w:t>
      </w:r>
      <w:r>
        <w:t xml:space="preserve"> </w:t>
      </w:r>
      <w:r>
        <w:t xml:space="preserve">(ролям).</w:t>
      </w:r>
    </w:p>
    <w:p>
      <w:pPr>
        <w:pStyle w:val="BodyText"/>
      </w:pPr>
      <w:r>
        <w:t xml:space="preserve">Для того чтобы настроить права, нужно нажать на кнопку “⋮” рядом</w:t>
      </w:r>
      <w:r>
        <w:t xml:space="preserve"> </w:t>
      </w:r>
      <w:r>
        <w:t xml:space="preserve">с наименованием меню, затем нажать на кнопку “Права доступа”.</w:t>
      </w:r>
    </w:p>
    <w:p>
      <w:pPr>
        <w:pStyle w:val="BodyText"/>
      </w:pPr>
      <w:r>
        <w:drawing>
          <wp:inline>
            <wp:extent cx="5334000" cy="2485961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34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48596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Настройка прав доступа на меню</w:t>
      </w:r>
    </w:p>
    <w:p>
      <w:pPr>
        <w:pStyle w:val="BodyText"/>
      </w:pPr>
      <w:r>
        <w:t xml:space="preserve">В отобразившемся окне нужно переключить бегунок на “Выборочно”.</w:t>
      </w:r>
      <w:r>
        <w:t xml:space="preserve"> </w:t>
      </w:r>
      <w:r>
        <w:t xml:space="preserve">Далее, нажать на кнопку “Выберите” и указать пользователей,</w:t>
      </w:r>
      <w:r>
        <w:t xml:space="preserve"> </w:t>
      </w:r>
      <w:r>
        <w:t xml:space="preserve">департаменты или группы пользователи (роли), которые получат доступ</w:t>
      </w:r>
      <w:r>
        <w:t xml:space="preserve"> </w:t>
      </w:r>
      <w:r>
        <w:t xml:space="preserve">на “Просмотр” данного меню.</w:t>
      </w:r>
    </w:p>
    <w:p>
      <w:pPr>
        <w:pStyle w:val="BodyText"/>
      </w:pPr>
      <w:r>
        <w:drawing>
          <wp:inline>
            <wp:extent cx="5334000" cy="3880338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35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88033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Добавление пользователей/департаментов/групп пользователей для</w:t>
      </w:r>
      <w:r>
        <w:t xml:space="preserve"> </w:t>
      </w:r>
      <w:r>
        <w:t xml:space="preserve">настройки прав доступа</w:t>
      </w:r>
    </w:p>
    <w:p>
      <w:pPr>
        <w:pStyle w:val="BodyText"/>
      </w:pPr>
      <w:r>
        <w:t xml:space="preserve">Затем сохранить изменения по нажатию на кнопку “Сохранить”</w:t>
      </w:r>
    </w:p>
    <w:p>
      <w:pPr>
        <w:pStyle w:val="Heading2"/>
      </w:pPr>
      <w:bookmarkStart w:id="82" w:name="настройка-иконки"/>
      <w:r>
        <w:t xml:space="preserve">Настройка иконки</w:t>
      </w:r>
      <w:bookmarkEnd w:id="82"/>
    </w:p>
    <w:p>
      <w:pPr>
        <w:pStyle w:val="FirstParagraph"/>
      </w:pPr>
      <w:r>
        <w:t xml:space="preserve">Для того чтобы настроить иконку в меню, нужно выбрать объект,</w:t>
      </w:r>
      <w:r>
        <w:t xml:space="preserve"> </w:t>
      </w:r>
      <w:r>
        <w:t xml:space="preserve">нажать на кнопку “⋮” рядом с наименованием меню, далее нажать</w:t>
      </w:r>
      <w:r>
        <w:t xml:space="preserve"> </w:t>
      </w:r>
      <w:r>
        <w:t xml:space="preserve">кнопку “Изменить иконку”.</w:t>
      </w:r>
    </w:p>
    <w:p>
      <w:pPr>
        <w:pStyle w:val="BodyText"/>
      </w:pPr>
      <w:r>
        <w:drawing>
          <wp:inline>
            <wp:extent cx="5334000" cy="3998839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36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99883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Настройка иконки</w:t>
      </w:r>
    </w:p>
    <w:p>
      <w:pPr>
        <w:pStyle w:val="BodyText"/>
      </w:pPr>
      <w:r>
        <w:t xml:space="preserve">Из предложенных вариантов иконок, нужно выбрать соответствующую</w:t>
      </w:r>
      <w:r>
        <w:t xml:space="preserve"> </w:t>
      </w:r>
      <w:r>
        <w:t xml:space="preserve">иконку.</w:t>
      </w:r>
    </w:p>
    <w:p>
      <w:pPr>
        <w:pStyle w:val="BodyText"/>
      </w:pPr>
      <w:r>
        <w:drawing>
          <wp:inline>
            <wp:extent cx="5334000" cy="2750422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37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75042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Варианты выбора иконок</w:t>
      </w:r>
    </w:p>
    <w:p>
      <w:pPr>
        <w:pStyle w:val="BodyText"/>
      </w:pPr>
      <w:r>
        <w:drawing>
          <wp:inline>
            <wp:extent cx="5334000" cy="2418138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38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41813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Изменение иконки в меню “Срочные заявки”</w:t>
      </w:r>
    </w:p>
    <w:p>
      <w:pPr>
        <w:pStyle w:val="Heading2"/>
      </w:pPr>
      <w:bookmarkStart w:id="86" w:name="настройка-фильтра"/>
      <w:r>
        <w:t xml:space="preserve">Настройка фильтра</w:t>
      </w:r>
      <w:bookmarkEnd w:id="86"/>
    </w:p>
    <w:p>
      <w:pPr>
        <w:pStyle w:val="FirstParagraph"/>
      </w:pPr>
      <w:r>
        <w:t xml:space="preserve">В системе, по одному объекту можно добавлять несколько меню с</w:t>
      </w:r>
      <w:r>
        <w:t xml:space="preserve"> </w:t>
      </w:r>
      <w:r>
        <w:t xml:space="preserve">разными фильтрами. В каждом из меню будут отображены записи в</w:t>
      </w:r>
      <w:r>
        <w:t xml:space="preserve"> </w:t>
      </w:r>
      <w:r>
        <w:t xml:space="preserve">соответствии с фильтром, который указан в меню.</w:t>
      </w:r>
    </w:p>
    <w:p>
      <w:pPr>
        <w:pStyle w:val="BodyText"/>
      </w:pPr>
      <w:r>
        <w:t xml:space="preserve">Для того чтобы добавить фильтр в меню, нужно выбрать объект,</w:t>
      </w:r>
      <w:r>
        <w:t xml:space="preserve"> </w:t>
      </w:r>
      <w:r>
        <w:t xml:space="preserve">нажать на кнопку “⋮” рядом с наименованием меню, далее нажать</w:t>
      </w:r>
      <w:r>
        <w:t xml:space="preserve"> </w:t>
      </w:r>
      <w:r>
        <w:t xml:space="preserve">кнопку “Фильтр”. Список полей (поля, которые выведены на карточку</w:t>
      </w:r>
      <w:r>
        <w:t xml:space="preserve"> </w:t>
      </w:r>
      <w:r>
        <w:t xml:space="preserve">объекта, включая системные поля) для настройки фильтра,</w:t>
      </w:r>
      <w:r>
        <w:t xml:space="preserve"> </w:t>
      </w:r>
      <w:r>
        <w:t xml:space="preserve">отобразиться по нажатию на кнопку “</w:t>
      </w:r>
      <w:r>
        <w:t xml:space="preserve">”.</w:t>
      </w:r>
    </w:p>
    <w:p>
      <w:pPr>
        <w:pStyle w:val="BodyText"/>
      </w:pPr>
      <w:r>
        <w:drawing>
          <wp:inline>
            <wp:extent cx="5334000" cy="3268085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39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26808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Настройка фильтра</w:t>
      </w:r>
    </w:p>
    <w:p>
      <w:pPr>
        <w:pStyle w:val="BodyText"/>
      </w:pPr>
      <w:r>
        <w:t xml:space="preserve">Для примера, в меню “Срочные заявки” нужно настроить фильтр, где</w:t>
      </w:r>
      <w:r>
        <w:t xml:space="preserve"> </w:t>
      </w:r>
      <w:r>
        <w:t xml:space="preserve">тип заказа = срочный. После сохранения изменений, в меню “Срочные</w:t>
      </w:r>
      <w:r>
        <w:t xml:space="preserve"> </w:t>
      </w:r>
      <w:r>
        <w:t xml:space="preserve">заказы” будут отображены записи только с типом - срочные.</w:t>
      </w:r>
    </w:p>
    <w:p>
      <w:pPr>
        <w:pStyle w:val="BodyText"/>
      </w:pPr>
      <w:r>
        <w:drawing>
          <wp:inline>
            <wp:extent cx="5334000" cy="1933840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40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93384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Фильтр тип заказа = срочный</w:t>
      </w:r>
    </w:p>
    <w:p>
      <w:pPr>
        <w:pStyle w:val="BodyText"/>
      </w:pPr>
      <w:r>
        <w:drawing>
          <wp:inline>
            <wp:extent cx="5334000" cy="1146870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41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14687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Heading2"/>
      </w:pPr>
      <w:bookmarkStart w:id="90" w:name="настройка-вида-отображения-записей"/>
      <w:r>
        <w:t xml:space="preserve">Настройка вида отображения записей</w:t>
      </w:r>
      <w:bookmarkEnd w:id="90"/>
    </w:p>
    <w:p>
      <w:pPr>
        <w:pStyle w:val="FirstParagraph"/>
      </w:pPr>
      <w:r>
        <w:t xml:space="preserve">Для того чтобы настроить виды отображения записей, нужно выбрать</w:t>
      </w:r>
      <w:r>
        <w:t xml:space="preserve"> </w:t>
      </w:r>
      <w:r>
        <w:t xml:space="preserve">меню, нажать на кнопку “⋮” рядом с наименованием меню. Далее из</w:t>
      </w:r>
      <w:r>
        <w:t xml:space="preserve"> </w:t>
      </w:r>
      <w:r>
        <w:t xml:space="preserve">доступных видов отображения, выбрать вид отображения. Порядок видов</w:t>
      </w:r>
      <w:r>
        <w:t xml:space="preserve"> </w:t>
      </w:r>
      <w:r>
        <w:t xml:space="preserve">отображения будет соответствовать порядку выбора отображения.</w:t>
      </w:r>
    </w:p>
    <w:p>
      <w:pPr>
        <w:pStyle w:val="BodyText"/>
      </w:pPr>
      <w:r>
        <w:drawing>
          <wp:inline>
            <wp:extent cx="5334000" cy="2011296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42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01129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Список настроенных видов отображения будет доступен справа в</w:t>
      </w:r>
      <w:r>
        <w:t xml:space="preserve"> </w:t>
      </w:r>
      <w:r>
        <w:t xml:space="preserve">верхнем углу страницы.</w:t>
      </w:r>
    </w:p>
    <w:p>
      <w:pPr>
        <w:pStyle w:val="BodyText"/>
      </w:pPr>
      <w:r>
        <w:drawing>
          <wp:inline>
            <wp:extent cx="5334000" cy="3323020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43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32302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Heading2"/>
      </w:pPr>
      <w:bookmarkStart w:id="93" w:name="удаление-меню"/>
      <w:r>
        <w:t xml:space="preserve">Удаление меню</w:t>
      </w:r>
      <w:bookmarkEnd w:id="93"/>
    </w:p>
    <w:p>
      <w:pPr>
        <w:pStyle w:val="FirstParagraph"/>
      </w:pPr>
      <w:r>
        <w:t xml:space="preserve">Для того чтобы удалить меню, нужно нажать на кнопку “⋮” рядом с</w:t>
      </w:r>
      <w:r>
        <w:t xml:space="preserve"> </w:t>
      </w:r>
      <w:r>
        <w:t xml:space="preserve">наименованием меню, затем нажать на кнопку “Удалить”.</w:t>
      </w:r>
    </w:p>
    <w:p>
      <w:pPr>
        <w:pStyle w:val="BodyText"/>
      </w:pPr>
      <w:r>
        <w:drawing>
          <wp:inline>
            <wp:extent cx="5334000" cy="1966845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44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96684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Удаление меню</w:t>
      </w:r>
    </w:p>
    <w:p>
      <w:pPr>
        <w:pStyle w:val="BodyText"/>
      </w:pPr>
      <w:r>
        <w:t xml:space="preserve">Далее, при нажатии “Да” меню будет удален, при нажатии на “Нет”</w:t>
      </w:r>
      <w:r>
        <w:t xml:space="preserve"> </w:t>
      </w:r>
      <w:r>
        <w:t xml:space="preserve">действие по удалению объекта из меню будет отменен.</w:t>
      </w:r>
    </w:p>
    <w:p>
      <w:pPr>
        <w:pStyle w:val="BodyText"/>
      </w:pPr>
      <w:r>
        <w:drawing>
          <wp:inline>
            <wp:extent cx="5334000" cy="2514029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45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51402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Окно подтверждения действии</w:t>
      </w:r>
    </w:p>
    <w:p>
      <w:pPr>
        <w:pStyle w:val="BodyText"/>
      </w:pPr>
      <w:r>
        <w:t xml:space="preserve">Примечание. При удалении меню, объект будет доступен в меню</w:t>
      </w:r>
      <w:r>
        <w:t xml:space="preserve"> </w:t>
      </w:r>
      <w:r>
        <w:t xml:space="preserve">Бизнес</w:t>
      </w:r>
    </w:p>
    <w:p>
      <w:pPr>
        <w:pStyle w:val="Heading1"/>
      </w:pPr>
      <w:bookmarkStart w:id="96" w:name="импорт"/>
      <w:r>
        <w:t xml:space="preserve">Импорт</w:t>
      </w:r>
      <w:bookmarkEnd w:id="96"/>
    </w:p>
    <w:p>
      <w:pPr>
        <w:pStyle w:val="FirstParagraph"/>
      </w:pPr>
      <w:r>
        <w:t xml:space="preserve">Для массового добавления записей можно использовать Импорт</w:t>
      </w:r>
      <w:r>
        <w:t xml:space="preserve"> </w:t>
      </w:r>
      <w:r>
        <w:t xml:space="preserve">данных. Клиентскую базу, список объектов, справочники или другие</w:t>
      </w:r>
      <w:r>
        <w:t xml:space="preserve"> </w:t>
      </w:r>
      <w:r>
        <w:t xml:space="preserve">данные можно добавить в систему из файлов Excel за считанные</w:t>
      </w:r>
      <w:r>
        <w:t xml:space="preserve"> </w:t>
      </w:r>
      <w:r>
        <w:t xml:space="preserve">минуты.</w:t>
      </w:r>
    </w:p>
    <w:p>
      <w:pPr>
        <w:pStyle w:val="BodyText"/>
      </w:pPr>
      <w:r>
        <w:t xml:space="preserve">Импорт из Excel нужно выполнить перед началом работы в системе.</w:t>
      </w:r>
      <w:r>
        <w:t xml:space="preserve"> </w:t>
      </w:r>
      <w:r>
        <w:t xml:space="preserve">Импорт также можно использовать для обновления и дополнения</w:t>
      </w:r>
      <w:r>
        <w:t xml:space="preserve"> </w:t>
      </w:r>
      <w:r>
        <w:t xml:space="preserve">существующих записей.</w:t>
      </w:r>
    </w:p>
    <w:p>
      <w:pPr>
        <w:pStyle w:val="BodyText"/>
      </w:pPr>
      <w:r>
        <w:t xml:space="preserve">В системе есть возможность импортировать данные сразу в 2</w:t>
      </w:r>
      <w:r>
        <w:t xml:space="preserve"> </w:t>
      </w:r>
      <w:r>
        <w:t xml:space="preserve">уровнях. Можно импортировать данные по залогам, и там же указать</w:t>
      </w:r>
      <w:r>
        <w:t xml:space="preserve"> </w:t>
      </w:r>
      <w:r>
        <w:t xml:space="preserve">данные по оценке залога. После завершения импорта в 2 разделах</w:t>
      </w:r>
      <w:r>
        <w:t xml:space="preserve"> </w:t>
      </w:r>
      <w:r>
        <w:t xml:space="preserve">(Залоги и оценка залога) появятся новые записи, а старые записи</w:t>
      </w:r>
      <w:r>
        <w:t xml:space="preserve"> </w:t>
      </w:r>
      <w:r>
        <w:t xml:space="preserve">обновятся по уникальному полю.</w:t>
      </w:r>
    </w:p>
    <w:p>
      <w:pPr>
        <w:pStyle w:val="BodyText"/>
      </w:pPr>
      <w:r>
        <w:t xml:space="preserve">Кнопка для импорта находится в правом нижнем углу реестра в</w:t>
      </w:r>
      <w:r>
        <w:t xml:space="preserve"> </w:t>
      </w:r>
      <w:r>
        <w:t xml:space="preserve">списочном виде. Кнопка доступна по всем имеющимся бизнес-объектам в</w:t>
      </w:r>
      <w:r>
        <w:t xml:space="preserve"> </w:t>
      </w:r>
      <w:r>
        <w:t xml:space="preserve">системе.</w:t>
      </w:r>
    </w:p>
    <w:p>
      <w:pPr>
        <w:pStyle w:val="BodyText"/>
      </w:pPr>
      <w:r>
        <w:drawing>
          <wp:inline>
            <wp:extent cx="5334000" cy="4096310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46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09631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Пользователи, у которых есть права на экспорт на уровне</w:t>
      </w:r>
      <w:r>
        <w:t xml:space="preserve"> </w:t>
      </w:r>
      <w:r>
        <w:t xml:space="preserve">бизнес-объекта могут импортировать файлы.</w:t>
      </w:r>
    </w:p>
    <w:p>
      <w:pPr>
        <w:pStyle w:val="BodyText"/>
      </w:pPr>
      <w:r>
        <w:t xml:space="preserve">Рекомендации по подготовке файла для импорта.</w:t>
      </w:r>
    </w:p>
    <w:p>
      <w:pPr>
        <w:pStyle w:val="BodyText"/>
      </w:pPr>
      <w:r>
        <w:t xml:space="preserve">1. Скачать шаблон файла для импорта.</w:t>
      </w:r>
    </w:p>
    <w:p>
      <w:pPr>
        <w:pStyle w:val="BodyText"/>
      </w:pPr>
      <w:r>
        <w:drawing>
          <wp:inline>
            <wp:extent cx="5334000" cy="1778000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47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778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1007"/>
          <w:ilvl w:val="0"/>
        </w:numPr>
      </w:pPr>
      <w:r>
        <w:t xml:space="preserve">Проверить шапку на целостность нужных полей.</w:t>
      </w:r>
    </w:p>
    <w:p>
      <w:pPr>
        <w:numPr>
          <w:numId w:val="1007"/>
          <w:ilvl w:val="0"/>
        </w:numPr>
      </w:pPr>
      <w:r>
        <w:t xml:space="preserve">При неполном количестве нужных полей для импорта, необходимо их</w:t>
      </w:r>
      <w:r>
        <w:t xml:space="preserve"> </w:t>
      </w:r>
      <w:r>
        <w:t xml:space="preserve">добавить в шапку.</w:t>
      </w:r>
    </w:p>
    <w:p>
      <w:pPr>
        <w:pStyle w:val="FirstParagraph"/>
      </w:pPr>
      <w:r>
        <w:t xml:space="preserve">Если поле простое, необходимо добавить одно поле, и заполнить</w:t>
      </w:r>
      <w:r>
        <w:t xml:space="preserve"> </w:t>
      </w:r>
      <w:r>
        <w:t xml:space="preserve">его названием из поля системы. Если поле находится во вкладке, то</w:t>
      </w:r>
      <w:r>
        <w:t xml:space="preserve"> </w:t>
      </w:r>
      <w:r>
        <w:t xml:space="preserve">путь к нему прописывается через точку. Пример: Наименование</w:t>
      </w:r>
      <w:r>
        <w:t xml:space="preserve"> </w:t>
      </w:r>
      <w:r>
        <w:t xml:space="preserve">Вкладки. Наименование Поля Если поле из вложенного объекта, то</w:t>
      </w:r>
      <w:r>
        <w:t xml:space="preserve"> </w:t>
      </w:r>
      <w:r>
        <w:t xml:space="preserve">необходимо заполнить на строку выше наименование вложенного</w:t>
      </w:r>
      <w:r>
        <w:t xml:space="preserve"> </w:t>
      </w:r>
      <w:r>
        <w:t xml:space="preserve">объекта, и на второй строке название самого поле. В таком случае,</w:t>
      </w:r>
      <w:r>
        <w:t xml:space="preserve"> </w:t>
      </w:r>
      <w:r>
        <w:t xml:space="preserve">необходимо также все простые поля объединить в две строки.</w:t>
      </w:r>
    </w:p>
    <w:p>
      <w:pPr>
        <w:pStyle w:val="Compact"/>
        <w:numPr>
          <w:numId w:val="1008"/>
          <w:ilvl w:val="0"/>
        </w:numPr>
      </w:pPr>
      <w:r>
        <w:t xml:space="preserve">Заполнить этот файл необходимыми данными.</w:t>
      </w:r>
    </w:p>
    <w:p>
      <w:pPr>
        <w:pStyle w:val="FirstParagraph"/>
      </w:pPr>
      <w:r>
        <w:drawing>
          <wp:inline>
            <wp:extent cx="5334000" cy="2638702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48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63870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Чтобы импортировать данные из книги Excel в систему:</w:t>
      </w:r>
    </w:p>
    <w:p>
      <w:pPr>
        <w:numPr>
          <w:numId w:val="1009"/>
          <w:ilvl w:val="0"/>
        </w:numPr>
      </w:pPr>
      <w:r>
        <w:t xml:space="preserve">Нужно подготовить файл импорта в формате *.xlsx. Рекомендации по</w:t>
      </w:r>
      <w:r>
        <w:t xml:space="preserve"> </w:t>
      </w:r>
      <w:r>
        <w:t xml:space="preserve">подготовке файла указаны выше.</w:t>
      </w:r>
    </w:p>
    <w:p>
      <w:pPr>
        <w:numPr>
          <w:numId w:val="1009"/>
          <w:ilvl w:val="0"/>
        </w:numPr>
      </w:pPr>
      <w:r>
        <w:t xml:space="preserve">Запустить мастер импорта: нужно перейти в раздел, в который</w:t>
      </w:r>
      <w:r>
        <w:t xml:space="preserve"> </w:t>
      </w:r>
      <w:r>
        <w:t xml:space="preserve">нужно импортировать данные, и нажать кнопку «Импорт из .xlsx».</w:t>
      </w:r>
      <w:r>
        <w:t xml:space="preserve"> </w:t>
      </w:r>
      <w:r>
        <w:t xml:space="preserve">Таким образом, можно импортировать данные во всех объектах.</w:t>
      </w:r>
    </w:p>
    <w:p>
      <w:pPr>
        <w:numPr>
          <w:numId w:val="1009"/>
          <w:ilvl w:val="0"/>
        </w:numPr>
      </w:pPr>
      <w:r>
        <w:t xml:space="preserve">Указать путь к подготовленному файлу по нажатию на кнопку</w:t>
      </w:r>
      <w:r>
        <w:t xml:space="preserve"> </w:t>
      </w:r>
      <w:r>
        <w:t xml:space="preserve">“Выберите файл”.</w:t>
      </w:r>
    </w:p>
    <w:p>
      <w:pPr>
        <w:numPr>
          <w:numId w:val="1009"/>
          <w:ilvl w:val="0"/>
        </w:numPr>
      </w:pPr>
      <w:r>
        <w:t xml:space="preserve">Нажать на кнопку «Загрузить».</w:t>
      </w:r>
    </w:p>
    <w:p>
      <w:pPr>
        <w:numPr>
          <w:numId w:val="1009"/>
          <w:ilvl w:val="0"/>
        </w:numPr>
      </w:pPr>
      <w:r>
        <w:t xml:space="preserve">После откроется карточка с аналитикой загружаемых данных:</w:t>
      </w:r>
    </w:p>
    <w:p>
      <w:pPr>
        <w:numPr>
          <w:numId w:val="1009"/>
          <w:ilvl w:val="0"/>
        </w:numPr>
      </w:pPr>
      <w:r>
        <w:t xml:space="preserve">Количество записей – количество записей имеющихся в файле.</w:t>
      </w:r>
    </w:p>
    <w:p>
      <w:pPr>
        <w:numPr>
          <w:numId w:val="1009"/>
          <w:ilvl w:val="0"/>
        </w:numPr>
      </w:pPr>
      <w:r>
        <w:t xml:space="preserve">Новые – количество новых записей имеющихся в файле.</w:t>
      </w:r>
    </w:p>
    <w:p>
      <w:pPr>
        <w:numPr>
          <w:numId w:val="1009"/>
          <w:ilvl w:val="0"/>
        </w:numPr>
      </w:pPr>
      <w:r>
        <w:t xml:space="preserve">Ошибок – количество ошибок по данным, к примеру, если не</w:t>
      </w:r>
      <w:r>
        <w:t xml:space="preserve"> </w:t>
      </w:r>
      <w:r>
        <w:t xml:space="preserve">заполнено обязательное поле, то система выведет сообщения рядом с</w:t>
      </w:r>
      <w:r>
        <w:t xml:space="preserve"> </w:t>
      </w:r>
      <w:r>
        <w:t xml:space="preserve">записью.</w:t>
      </w:r>
    </w:p>
    <w:p>
      <w:pPr>
        <w:numPr>
          <w:numId w:val="1009"/>
          <w:ilvl w:val="0"/>
        </w:numPr>
      </w:pPr>
      <w:r>
        <w:t xml:space="preserve">Обновлений – количество обновляемых записей по уникальному</w:t>
      </w:r>
      <w:r>
        <w:t xml:space="preserve"> </w:t>
      </w:r>
      <w:r>
        <w:t xml:space="preserve">полю.</w:t>
      </w:r>
    </w:p>
    <w:p>
      <w:pPr>
        <w:pStyle w:val="FirstParagraph"/>
      </w:pPr>
      <w:r>
        <w:drawing>
          <wp:inline>
            <wp:extent cx="5334000" cy="2543035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49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54303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Compact"/>
        <w:numPr>
          <w:numId w:val="1010"/>
          <w:ilvl w:val="0"/>
        </w:numPr>
      </w:pPr>
      <w:r>
        <w:t xml:space="preserve">По нажатию на кнопку «Применить» будут загружены данные из</w:t>
      </w:r>
      <w:r>
        <w:t xml:space="preserve"> </w:t>
      </w:r>
      <w:r>
        <w:t xml:space="preserve">файла. При необходимости можно отменить импорт по нажатию на кнопку</w:t>
      </w:r>
      <w:r>
        <w:t xml:space="preserve"> </w:t>
      </w:r>
      <w:r>
        <w:t xml:space="preserve">«Отменить»</w:t>
      </w:r>
    </w:p>
    <w:p>
      <w:pPr>
        <w:pStyle w:val="Heading1"/>
      </w:pPr>
      <w:bookmarkStart w:id="101" w:name="составной-объект"/>
      <w:r>
        <w:t xml:space="preserve">Составной объект</w:t>
      </w:r>
      <w:bookmarkEnd w:id="101"/>
    </w:p>
    <w:p>
      <w:pPr>
        <w:pStyle w:val="FirstParagraph"/>
      </w:pPr>
      <w:r>
        <w:t xml:space="preserve">Составные объекты - это комбинация двух или более объектов</w:t>
      </w:r>
      <w:r>
        <w:t xml:space="preserve"> </w:t>
      </w:r>
      <w:r>
        <w:t xml:space="preserve">объединенных каким - либо атрибутом или их группой.</w:t>
      </w:r>
    </w:p>
    <w:p>
      <w:pPr>
        <w:pStyle w:val="Heading2"/>
      </w:pPr>
      <w:bookmarkStart w:id="102" w:name="создание-нового-созданного-объекта"/>
      <w:r>
        <w:t xml:space="preserve">Создание нового созданного объекта</w:t>
      </w:r>
      <w:bookmarkEnd w:id="102"/>
    </w:p>
    <w:p>
      <w:pPr>
        <w:pStyle w:val="Compact"/>
        <w:numPr>
          <w:numId w:val="1011"/>
          <w:ilvl w:val="0"/>
        </w:numPr>
      </w:pPr>
      <w:r>
        <w:t xml:space="preserve">Необходимо перейти в режим администрирования по нажатию на</w:t>
      </w:r>
      <w:r>
        <w:t xml:space="preserve"> </w:t>
      </w:r>
      <w:r>
        <w:t xml:space="preserve">кнопку “</w:t>
      </w:r>
      <w:r>
        <w:drawing>
          <wp:inline>
            <wp:extent cx="333375" cy="333375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50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” в меню “Бизнес”</w:t>
      </w:r>
      <w:r>
        <w:t xml:space="preserve"> </w:t>
      </w:r>
      <w:r>
        <w:t xml:space="preserve">в левом верхнем углу страницы.</w:t>
      </w:r>
    </w:p>
    <w:p>
      <w:pPr>
        <w:pStyle w:val="Compact"/>
        <w:numPr>
          <w:numId w:val="1011"/>
          <w:ilvl w:val="0"/>
        </w:numPr>
      </w:pPr>
      <w:r>
        <w:t xml:space="preserve">На открывшейся странице необходимо нажать на кнопку “</w:t>
      </w:r>
      <w:r>
        <w:drawing>
          <wp:inline>
            <wp:extent cx="333375" cy="333375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51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” и, в</w:t>
      </w:r>
      <w:r>
        <w:t xml:space="preserve"> </w:t>
      </w:r>
      <w:r>
        <w:t xml:space="preserve">выпадающем списке, выбрать пункт “Составной объект”.</w:t>
      </w:r>
    </w:p>
    <w:p>
      <w:pPr>
        <w:pStyle w:val="FirstParagraph"/>
      </w:pPr>
      <w:r>
        <w:drawing>
          <wp:inline>
            <wp:extent cx="5334000" cy="3052590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52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05259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Кнопка добавления составного объекта</w:t>
      </w:r>
    </w:p>
    <w:p>
      <w:pPr>
        <w:pStyle w:val="BodyText"/>
      </w:pPr>
      <w:r>
        <w:t xml:space="preserve">На открывшейся странице отобразится с заполненным наименованием</w:t>
      </w:r>
      <w:r>
        <w:t xml:space="preserve"> </w:t>
      </w:r>
      <w:r>
        <w:t xml:space="preserve">составной объект, где номер соответствует количеству имеющихся</w:t>
      </w:r>
      <w:r>
        <w:t xml:space="preserve"> </w:t>
      </w:r>
      <w:r>
        <w:t xml:space="preserve">составных объектов в системе. В поле необходимо ввести наименование</w:t>
      </w:r>
      <w:r>
        <w:t xml:space="preserve"> </w:t>
      </w:r>
      <w:r>
        <w:t xml:space="preserve">составного объекта, которое будет соответствовать логике</w:t>
      </w:r>
      <w:r>
        <w:t xml:space="preserve"> </w:t>
      </w:r>
      <w:r>
        <w:t xml:space="preserve">использования составного объекта.</w:t>
      </w:r>
    </w:p>
    <w:p>
      <w:pPr>
        <w:pStyle w:val="BodyText"/>
      </w:pPr>
      <w:r>
        <w:drawing>
          <wp:inline>
            <wp:extent cx="5334000" cy="2611298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53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61129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Далее, чтобы добавить объект на страницу, необходимо нажать на</w:t>
      </w:r>
      <w:r>
        <w:t xml:space="preserve"> </w:t>
      </w:r>
      <w:r>
        <w:t xml:space="preserve">“”. В открывшемся окне выбрать необходимые объекты.</w:t>
      </w:r>
    </w:p>
    <w:p>
      <w:pPr>
        <w:pStyle w:val="BodyText"/>
      </w:pPr>
      <w:r>
        <w:drawing>
          <wp:inline>
            <wp:extent cx="5334000" cy="2624737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54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62473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Для удаления добавленного объект необходимо нажать на лого</w:t>
      </w:r>
      <w:r>
        <w:t xml:space="preserve"> </w:t>
      </w:r>
      <w:r>
        <w:t xml:space="preserve">корзина</w:t>
      </w:r>
      <w:r>
        <w:t xml:space="preserve"> </w:t>
      </w:r>
      <w:r>
        <w:drawing>
          <wp:inline>
            <wp:extent cx="333375" cy="333375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55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:</w:t>
      </w:r>
    </w:p>
    <w:p>
      <w:pPr>
        <w:pStyle w:val="BodyText"/>
      </w:pPr>
      <w:r>
        <w:t xml:space="preserve">Для того, чтобы раскрыть “Атрибуты” и “Тип” необходимо нажать на</w:t>
      </w:r>
      <w:r>
        <w:t xml:space="preserve"> </w:t>
      </w:r>
      <w:r>
        <w:t xml:space="preserve">“</w:t>
      </w:r>
      <w:r>
        <w:drawing>
          <wp:inline>
            <wp:extent cx="333375" cy="333375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56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”</w:t>
      </w:r>
    </w:p>
    <w:p>
      <w:pPr>
        <w:pStyle w:val="BodyText"/>
      </w:pPr>
      <w:r>
        <w:drawing>
          <wp:inline>
            <wp:extent cx="5334000" cy="3751637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57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75163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В правой части страницы находятся “Составные атрибуты” и</w:t>
      </w:r>
      <w:r>
        <w:t xml:space="preserve"> </w:t>
      </w:r>
      <w:r>
        <w:t xml:space="preserve">“Простые атрибуты”, которые также можно раскрыть нажав на “</w:t>
      </w:r>
      <w:r>
        <w:drawing>
          <wp:inline>
            <wp:extent cx="333375" cy="333375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58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”.</w:t>
      </w:r>
    </w:p>
    <w:p>
      <w:pPr>
        <w:pStyle w:val="BodyText"/>
      </w:pPr>
      <w:r>
        <w:t xml:space="preserve">&lt;img src="020_pics/attributeType.png&gt;</w:t>
      </w:r>
    </w:p>
    <w:p>
      <w:pPr>
        <w:pStyle w:val="BodyText"/>
      </w:pPr>
      <w:r>
        <w:t xml:space="preserve">Любой атрибут можно перемещать в составные атрибуты с помощью</w:t>
      </w:r>
      <w:r>
        <w:t xml:space="preserve"> </w:t>
      </w:r>
      <w:r>
        <w:t xml:space="preserve">drag&amp;drop. Одинаковые атрибуты бизнес-объектов подлежат</w:t>
      </w:r>
      <w:r>
        <w:t xml:space="preserve"> </w:t>
      </w:r>
      <w:r>
        <w:t xml:space="preserve">объединению при переносе в составные атрибуты.</w:t>
      </w:r>
    </w:p>
    <w:p>
      <w:pPr>
        <w:pStyle w:val="BodyText"/>
      </w:pPr>
      <w:r>
        <w:t xml:space="preserve">Также можно перейти в настройки каждого атрибута, нажав на “</w:t>
      </w:r>
      <w:r>
        <w:drawing>
          <wp:inline>
            <wp:extent cx="333375" cy="321468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59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2146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”, и изменить код, а</w:t>
      </w:r>
      <w:r>
        <w:t xml:space="preserve"> </w:t>
      </w:r>
      <w:r>
        <w:t xml:space="preserve">также у бизнес-объектов настроить вид отображения и выбрать поля</w:t>
      </w:r>
      <w:r>
        <w:t xml:space="preserve"> </w:t>
      </w:r>
      <w:r>
        <w:t xml:space="preserve">для отображения.</w:t>
      </w:r>
    </w:p>
    <w:p>
      <w:pPr>
        <w:pStyle w:val="BodyText"/>
      </w:pPr>
      <w:r>
        <w:drawing>
          <wp:inline>
            <wp:extent cx="5334000" cy="4334933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60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33493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5334000" cy="3951713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61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95171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После внесения всех изменений необходимо нажать "Сохранить".</w:t>
      </w:r>
      <w:r>
        <w:t xml:space="preserve"> </w:t>
      </w:r>
      <w:r>
        <w:t xml:space="preserve">Таким образом готовый составной объект будет выглядеть как</w:t>
      </w:r>
      <w:r>
        <w:t xml:space="preserve"> </w:t>
      </w:r>
      <w:r>
        <w:t xml:space="preserve">представлено ниже на рисунке.</w:t>
      </w:r>
    </w:p>
    <w:p>
      <w:pPr>
        <w:pStyle w:val="BodyText"/>
      </w:pPr>
      <w:r>
        <w:drawing>
          <wp:inline>
            <wp:extent cx="5334000" cy="2142453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62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14245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Пример работы с композитным объектом:</w:t>
      </w:r>
    </w:p>
    <w:p>
      <w:pPr>
        <w:pStyle w:val="BodyText"/>
      </w:pPr>
      <w:r>
        <w:drawing>
          <wp:inline>
            <wp:extent cx="5334000" cy="2748265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63.gif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74826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Heading1"/>
      </w:pPr>
      <w:bookmarkStart w:id="117" w:name="панель"/>
      <w:r>
        <w:t xml:space="preserve">Панель</w:t>
      </w:r>
      <w:bookmarkEnd w:id="117"/>
    </w:p>
    <w:p>
      <w:pPr>
        <w:pStyle w:val="FirstParagraph"/>
      </w:pPr>
      <w:r>
        <w:t xml:space="preserve">Панель это - элемент различных конструкций, на котором</w:t>
      </w:r>
      <w:r>
        <w:t xml:space="preserve"> </w:t>
      </w:r>
      <w:r>
        <w:t xml:space="preserve">существует возможность расположения вложенных бизнес-объектов, а</w:t>
      </w:r>
      <w:r>
        <w:t xml:space="preserve"> </w:t>
      </w:r>
      <w:r>
        <w:t xml:space="preserve">также блока iframe.</w:t>
      </w:r>
    </w:p>
    <w:p>
      <w:pPr>
        <w:pStyle w:val="BodyText"/>
      </w:pPr>
      <w:r>
        <w:t xml:space="preserve">Для того чтобы добавить панель:</w:t>
      </w:r>
    </w:p>
    <w:p>
      <w:pPr>
        <w:pStyle w:val="BodyText"/>
      </w:pPr>
      <w:r>
        <w:t xml:space="preserve">Нужно перейти в режим администрирования в меню “Бизнес” в левом</w:t>
      </w:r>
      <w:r>
        <w:t xml:space="preserve"> </w:t>
      </w:r>
      <w:r>
        <w:t xml:space="preserve">верхнем углу страницы.</w:t>
      </w:r>
    </w:p>
    <w:p>
      <w:pPr>
        <w:pStyle w:val="BodyText"/>
      </w:pPr>
      <w:r>
        <w:drawing>
          <wp:inline>
            <wp:extent cx="5334000" cy="1649542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64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64954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На открывшейся странице нужно нажать на кнопку “</w:t>
      </w:r>
      <w:r>
        <w:drawing>
          <wp:inline>
            <wp:extent cx="333375" cy="333375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65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” и выбрать</w:t>
      </w:r>
      <w:r>
        <w:t xml:space="preserve"> </w:t>
      </w:r>
      <w:r>
        <w:t xml:space="preserve">пункт “Панель”.</w:t>
      </w:r>
    </w:p>
    <w:p>
      <w:pPr>
        <w:pStyle w:val="BodyText"/>
      </w:pPr>
      <w:r>
        <w:drawing>
          <wp:inline>
            <wp:extent cx="5334000" cy="3052590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66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05259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Откроется страница с заполненным наименованием панели, где номер</w:t>
      </w:r>
      <w:r>
        <w:t xml:space="preserve"> </w:t>
      </w:r>
      <w:r>
        <w:t xml:space="preserve">соответствует количеству имеющихся панель в системе. В поле</w:t>
      </w:r>
      <w:r>
        <w:t xml:space="preserve"> </w:t>
      </w:r>
      <w:r>
        <w:t xml:space="preserve">необходимо ввести наименование панели, которое будет</w:t>
      </w:r>
      <w:r>
        <w:t xml:space="preserve"> </w:t>
      </w:r>
      <w:r>
        <w:t xml:space="preserve">соответствовать логике использования панели.</w:t>
      </w:r>
    </w:p>
    <w:p>
      <w:pPr>
        <w:pStyle w:val="BodyText"/>
      </w:pPr>
      <w:r>
        <w:drawing>
          <wp:inline>
            <wp:extent cx="5334000" cy="2734010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67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73401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Далее, необходимо настроить макет страницы с помощью</w:t>
      </w:r>
      <w:r>
        <w:t xml:space="preserve"> </w:t>
      </w:r>
      <w:r>
        <w:t xml:space="preserve">конструктора объектов. Здесь настраиваются разные элементы</w:t>
      </w:r>
      <w:r>
        <w:t xml:space="preserve"> </w:t>
      </w:r>
      <w:r>
        <w:t xml:space="preserve">страницы, например, виджеты и вложенные объекты. Все настройки</w:t>
      </w:r>
      <w:r>
        <w:t xml:space="preserve"> </w:t>
      </w:r>
      <w:r>
        <w:t xml:space="preserve">выполняются без использования кода с помощью простых</w:t>
      </w:r>
      <w:r>
        <w:t xml:space="preserve"> </w:t>
      </w:r>
      <w:r>
        <w:t xml:space="preserve">инструментов.</w:t>
      </w:r>
    </w:p>
    <w:p>
      <w:pPr>
        <w:pStyle w:val="BodyText"/>
      </w:pPr>
      <w:r>
        <w:t xml:space="preserve">Созданную панель можно переместить в боковое меню.</w:t>
      </w:r>
    </w:p>
    <w:p>
      <w:pPr>
        <w:pStyle w:val="BodyText"/>
      </w:pPr>
      <w:r>
        <w:t xml:space="preserve">Пример работы с панелью:</w:t>
      </w:r>
    </w:p>
    <w:p>
      <w:pPr>
        <w:pStyle w:val="BodyText"/>
      </w:pPr>
      <w:r>
        <w:drawing>
          <wp:inline>
            <wp:extent cx="5334000" cy="2748265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img-00068.gif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1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74826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/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20005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numbering.xml><?xml version="1.0" encoding="utf-8"?>
<w:numbering xmlns:w="http://schemas.openxmlformats.org/wordprocessingml/2006/main">
  <w:abstractNum w:abstractNumId="990">
    <w:nsid w:val="170cd2de"/>
    <w:multiLevelType w:val="multilevel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bullet"/>
      <w:lvlText w:val=" "/>
      <w:lvlJc w:val="left"/>
      <w:pPr>
        <w:tabs>
          <w:tab w:val="num" w:pos="5040"/>
        </w:tabs>
        <w:ind w:left="5520" w:hanging="480"/>
      </w:pPr>
    </w:lvl>
    <w:lvl w:ilvl="8">
      <w:numFmt w:val="bullet"/>
      <w:lvlText w:val=" "/>
      <w:lvlJc w:val="left"/>
      <w:pPr>
        <w:tabs>
          <w:tab w:val="num" w:pos="5760"/>
        </w:tabs>
        <w:ind w:left="6240" w:hanging="480"/>
      </w:pPr>
    </w:lvl>
  </w:abstractNum>
  <w:abstractNum w:abstractNumId="990">
    <w:nsid w:val="2c1ae401"/>
    <w:multiLevelType w:val="multilevel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bullet"/>
      <w:lvlText w:val=" "/>
      <w:lvlJc w:val="left"/>
      <w:pPr>
        <w:tabs>
          <w:tab w:val="num" w:pos="5040"/>
        </w:tabs>
        <w:ind w:left="5520" w:hanging="480"/>
      </w:pPr>
    </w:lvl>
    <w:lvl w:ilvl="8">
      <w:numFmt w:val="bullet"/>
      <w:lvlText w:val=" "/>
      <w:lvlJc w:val="left"/>
      <w:pPr>
        <w:tabs>
          <w:tab w:val="num" w:pos="5760"/>
        </w:tabs>
        <w:ind w:left="6240" w:hanging="480"/>
      </w:pPr>
    </w:lvl>
  </w:abstractNum>
  <w:abstractNum w:abstractNumId="991">
    <w:nsid w:val="ea454b4c"/>
    <w:multiLevelType w:val="multilevel"/>
    <w:lvl w:ilvl="0">
      <w:numFmt w:val="bullet"/>
      <w:lvlText w:val="•"/>
      <w:lvlJc w:val="left"/>
      <w:pPr>
        <w:tabs>
          <w:tab w:val="num" w:pos="0"/>
        </w:tabs>
        <w:ind w:left="480" w:hanging="480"/>
      </w:pPr>
    </w:lvl>
    <w:lvl w:ilvl="1">
      <w:numFmt w:val="bullet"/>
      <w:lvlText w:val="–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•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–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•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–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•"/>
      <w:lvlJc w:val="left"/>
      <w:pPr>
        <w:tabs>
          <w:tab w:val="num" w:pos="4320"/>
        </w:tabs>
        <w:ind w:left="4800" w:hanging="480"/>
      </w:pPr>
    </w:lvl>
    <w:lvl w:ilvl="7">
      <w:numFmt w:val="bullet"/>
      <w:lvlText w:val="–"/>
      <w:lvlJc w:val="left"/>
      <w:pPr>
        <w:tabs>
          <w:tab w:val="num" w:pos="5040"/>
        </w:tabs>
        <w:ind w:left="5520" w:hanging="480"/>
      </w:pPr>
    </w:lvl>
    <w:lvl w:ilvl="8">
      <w:numFmt w:val="bullet"/>
      <w:lvlText w:val="•"/>
      <w:lvlJc w:val="left"/>
      <w:pPr>
        <w:tabs>
          <w:tab w:val="num" w:pos="5760"/>
        </w:tabs>
        <w:ind w:left="6240" w:hanging="480"/>
      </w:pPr>
    </w:lvl>
  </w:abstractNum>
  <w:abstractNum w:abstractNumId="99201">
    <w:nsid w:val="71315dca"/>
    <w:multiLevelType w:val="multilevel"/>
    <w:lvl w:ilvl="0">
      <w:start w:val="1"/>
      <w:numFmt w:val="decimal"/>
      <w:lvlText w:val="%1."/>
      <w:lvlJc w:val="left"/>
      <w:pPr>
        <w:tabs>
          <w:tab w:val="num" w:pos="0"/>
        </w:tabs>
        <w:ind w:left="480" w:hanging="480"/>
      </w:p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1200" w:hanging="480"/>
      </w:pPr>
    </w:lvl>
    <w:lvl w:ilvl="2">
      <w:start w:val="1"/>
      <w:numFmt w:val="lowerRoman"/>
      <w:lvlText w:val="%3."/>
      <w:lvlJc w:val="left"/>
      <w:pPr>
        <w:tabs>
          <w:tab w:val="num" w:pos="1440"/>
        </w:tabs>
        <w:ind w:left="1920" w:hanging="480"/>
      </w:pPr>
    </w:lvl>
    <w:lvl w:ilvl="3">
      <w:start w:val="1"/>
      <w:numFmt w:val="decimal"/>
      <w:lvlText w:val="%4."/>
      <w:lvlJc w:val="left"/>
      <w:pPr>
        <w:tabs>
          <w:tab w:val="num" w:pos="2160"/>
        </w:tabs>
        <w:ind w:left="2640" w:hanging="480"/>
      </w:pPr>
    </w:lvl>
    <w:lvl w:ilvl="4">
      <w:start w:val="1"/>
      <w:numFmt w:val="lowerLetter"/>
      <w:lvlText w:val="%5."/>
      <w:lvlJc w:val="left"/>
      <w:pPr>
        <w:tabs>
          <w:tab w:val="num" w:pos="2880"/>
        </w:tabs>
        <w:ind w:left="3360" w:hanging="480"/>
      </w:pPr>
    </w:lvl>
    <w:lvl w:ilvl="5">
      <w:start w:val="1"/>
      <w:numFmt w:val="lowerRoman"/>
      <w:lvlText w:val="%6."/>
      <w:lvlJc w:val="left"/>
      <w:pPr>
        <w:tabs>
          <w:tab w:val="num" w:pos="3600"/>
        </w:tabs>
        <w:ind w:left="4080" w:hanging="480"/>
      </w:pPr>
    </w:lvl>
    <w:lvl w:ilvl="6">
      <w:start w:val="1"/>
      <w:numFmt w:val="decimal"/>
      <w:lvlText w:val="%7."/>
      <w:lvlJc w:val="left"/>
      <w:pPr>
        <w:tabs>
          <w:tab w:val="num" w:pos="4320"/>
        </w:tabs>
        <w:ind w:left="4800" w:hanging="480"/>
      </w:pPr>
    </w:lvl>
    <w:lvl w:ilvl="7">
      <w:start w:val="1"/>
      <w:numFmt w:val="lowerLetter"/>
      <w:lvlText w:val="%8."/>
      <w:lvlJc w:val="left"/>
      <w:pPr>
        <w:tabs>
          <w:tab w:val="num" w:pos="5040"/>
        </w:tabs>
        <w:ind w:left="5520" w:hanging="480"/>
      </w:pPr>
    </w:lvl>
    <w:lvl w:ilvl="8">
      <w:start w:val="1"/>
      <w:numFmt w:val="lowerRoman"/>
      <w:lvlText w:val="%9."/>
      <w:lvlJc w:val="left"/>
      <w:pPr>
        <w:tabs>
          <w:tab w:val="num" w:pos="5760"/>
        </w:tabs>
        <w:ind w:left="6240" w:hanging="480"/>
      </w:pPr>
    </w:lvl>
  </w:abstractNum>
  <w:num w:numId="1000">
    <w:abstractNumId w:val="990"/>
  </w:num>
  <w:num w:numId="1000">
    <w:abstractNumId w:val="990"/>
  </w:num>
  <w:num w:numId="1001">
    <w:abstractNumId w:val="991"/>
  </w:num>
  <w:num w:numId="100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3">
    <w:abstractNumId w:val="991"/>
  </w:num>
  <w:num w:numId="1004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5">
    <w:abstractNumId w:val="991"/>
  </w:num>
  <w:num w:numId="1006">
    <w:abstractNumId w:val="991"/>
  </w:num>
  <w:num w:numId="1007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8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9">
    <w:abstractNumId w:val="991"/>
  </w:num>
  <w:num w:numId="1010">
    <w:abstractNumId w:val="991"/>
  </w:num>
  <w:num w:numId="1011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proofState w:spelling="clean" w:grammar="clean"/>
  <w:stylePaneFormatFilter w:val="0004"/>
  <w:footnotePr>
    <w:footnote w:id="-1"/>
    <w:footnote w:id="0"/>
  </w:footnotePr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rsids>
    <w:rsidRoot w:val="00590D07"/>
    <w:rsid w:val="00011C8B"/>
    <w:rsid w:val="004E29B3"/>
    <w:rsid w:val="00590D07"/>
    <w:rsid w:val="00784D58"/>
    <w:rsid w:val="008D6863"/>
    <w:rsid w:val="00B86B75"/>
    <w:rsid w:val="00BC48D5"/>
    <w:rsid w:val="00C36279"/>
    <w:rsid w:val="00E315A3"/>
  </w:rsids>
  <m:mathPr>
    <m:mathFont m:val="Lucida Grande"/>
    <m:brkBin m:val="before"/>
    <m:brkBinSub m:val="--"/>
    <m:smallFrac m:val="false"/>
    <m:dispDef m:val="false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276"/>
  <w:style w:type="paragraph" w:default="1" w:styleId="Normal">
    <w:name w:val="Normal"/>
    <w:qFormat/>
  </w:style>
  <w:style w:type="paragraph" w:styleId="BodyText">
    <w:name w:val="Body Text"/>
    <w:basedOn w:val="Normal"/>
    <w:link w:val="BodyTextChar"/>
    <w:pPr>
      <w:spacing w:before="180" w:after="180"/>
    </w:pPr>
    <w:qFormat/>
  </w:style>
  <w:style w:type="paragraph" w:customStyle="1" w:styleId="FirstParagraph">
    <w:name w:val="First Paragraph"/>
    <w:basedOn w:val="BodyText"/>
    <w:next w:val="BodyText"/>
    <w:qFormat/>
  </w:style>
  <w:style w:type="paragraph" w:customStyle="1" w:styleId="Compact">
    <w:name w:val="Compact"/>
    <w:basedOn w:val="BodyText"/>
    <w:qFormat/>
    <w:pPr>
      <w:spacing w:before="36" w:after="36"/>
    </w:pPr>
  </w:style>
  <w:style w:type="paragraph" w:styleId="Title">
    <w:name w:val="Title"/>
    <w:basedOn w:val="Normal"/>
    <w:next w:val="BodyText"/>
    <w:qFormat/>
    <w:pPr>
      <w:keepNext/>
      <w:keepLines/>
      <w:spacing w:before="480" w:after="240"/>
      <w:jc w:val="center"/>
    </w:pPr>
    <w:rPr>
      <w:rFonts w:asciiTheme="majorHAnsi" w:eastAsiaTheme="majorEastAsia" w:hAnsiTheme="majorHAnsi" w:cstheme="majorBidi"/>
      <w:b/>
      <w:bCs/>
      <w:color w:val="345A8A" w:themeColor="accent1" w:themeShade="B5"/>
      <w:sz w:val="36"/>
      <w:szCs w:val="36"/>
    </w:rPr>
  </w:style>
  <w:style w:type="paragraph" w:styleId="Subtitle">
    <w:name w:val="Subtitle"/>
    <w:basedOn w:val="Title"/>
    <w:next w:val="BodyText"/>
    <w:qFormat/>
    <w:pPr>
      <w:keepNext/>
      <w:keepLines/>
      <w:spacing w:before="240" w:after="240"/>
      <w:jc w:val="center"/>
    </w:pPr>
    <w:rPr>
      <w:sz w:val="30"/>
      <w:szCs w:val="30"/>
    </w:rPr>
  </w:style>
  <w:style w:type="paragraph" w:customStyle="1" w:styleId="Author">
    <w:name w:val="Author"/>
    <w:next w:val="BodyText"/>
    <w:qFormat/>
    <w:pPr>
      <w:keepNext/>
      <w:keepLines/>
      <w:jc w:val="center"/>
    </w:pPr>
  </w:style>
  <w:style w:type="paragraph" w:styleId="Date">
    <w:name w:val="Date"/>
    <w:next w:val="BodyText"/>
    <w:qFormat/>
    <w:pPr>
      <w:keepNext/>
      <w:keepLines/>
      <w:jc w:val="center"/>
    </w:pPr>
  </w:style>
  <w:style w:type="paragraph" w:customStyle="1" w:styleId="Abstract">
    <w:name w:val="Abstract"/>
    <w:basedOn w:val="Normal"/>
    <w:next w:val="BodyText"/>
    <w:qFormat/>
    <w:pPr>
      <w:keepNext/>
      <w:keepLines/>
      <w:spacing w:before="300" w:after="300"/>
    </w:pPr>
    <w:rPr>
      <w:sz w:val="20"/>
      <w:szCs w:val="20"/>
    </w:rPr>
  </w:style>
  <w:style w:type="paragraph" w:styleId="Bibliography">
    <w:name w:val="Bibliography"/>
    <w:basedOn w:val="Normal"/>
    <w:next w:val="Bibliography"/>
    <w:qFormat/>
    <w:pPr/>
    <w:rPr/>
  </w:style>
  <w:style w:type="paragraph" w:styleId="Heading1">
    <w:name w:val="Heading 1"/>
    <w:basedOn w:val="Normal"/>
    <w:next w:val="BodyText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BodyText"/>
    <w:uiPriority w:val="9"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32"/>
      <w:szCs w:val="32"/>
    </w:rPr>
  </w:style>
  <w:style w:type="paragraph" w:styleId="Heading3">
    <w:name w:val="Heading 3"/>
    <w:basedOn w:val="Normal"/>
    <w:next w:val="BodyText"/>
    <w:uiPriority w:val="9"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8"/>
      <w:szCs w:val="28"/>
    </w:rPr>
  </w:style>
  <w:style w:type="paragraph" w:styleId="Heading4">
    <w:name w:val="Heading 4"/>
    <w:basedOn w:val="Normal"/>
    <w:next w:val="BodyText"/>
    <w:uiPriority w:val="9"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paragraph" w:styleId="Heading5">
    <w:name w:val="Heading 5"/>
    <w:basedOn w:val="Normal"/>
    <w:next w:val="BodyText"/>
    <w:uiPriority w:val="9"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paragraph" w:styleId="Heading6">
    <w:name w:val="Heading 6"/>
    <w:basedOn w:val="Normal"/>
    <w:next w:val="BodyText"/>
    <w:uiPriority w:val="9"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paragraph" w:styleId="Heading7">
    <w:name w:val="Heading 7"/>
    <w:basedOn w:val="Normal"/>
    <w:next w:val="BodyText"/>
    <w:uiPriority w:val="9"/>
    <w:unhideWhenUsed/>
    <w:qFormat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paragraph" w:styleId="Heading8">
    <w:name w:val="Heading 8"/>
    <w:basedOn w:val="Normal"/>
    <w:next w:val="BodyText"/>
    <w:uiPriority w:val="9"/>
    <w:unhideWhenUsed/>
    <w:qFormat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paragraph" w:styleId="Heading9">
    <w:name w:val="Heading 9"/>
    <w:basedOn w:val="Normal"/>
    <w:next w:val="BodyText"/>
    <w:uiPriority w:val="9"/>
    <w:unhideWhenUsed/>
    <w:qFormat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paragraph" w:styleId="BlockText">
    <w:name w:val="Block Text"/>
    <w:basedOn w:val="BodyText"/>
    <w:next w:val="BodyText"/>
    <w:uiPriority w:val="9"/>
    <w:unhideWhenUsed/>
    <w:qFormat/>
    <w:pPr>
      <w:spacing w:before="100" w:after="100"/>
      <w:ind w:firstLine="0"/>
    </w:pPr>
    <w:rPr>
      <w:rFonts w:asciiTheme="majorHAnsi" w:eastAsiaTheme="majorEastAsia" w:hAnsiTheme="majorHAnsi" w:cstheme="majorBidi"/>
      <w:bCs/>
      <w:sz w:val="20"/>
      <w:szCs w:val="20"/>
    </w:rPr>
  </w:style>
  <w:style w:type="paragraph" w:styleId="FootnoteText">
    <w:name w:val="Footnote Text"/>
    <w:basedOn w:val="Normal"/>
    <w:next w:val="FootnoteText"/>
    <w:uiPriority w:val="9"/>
    <w:unhideWhenUsed/>
    <w:qFormat/>
  </w:style>
  <w:style w:type="character" w:default="1" w:styleId="DefaultParagraphFont">
    <w:name w:val="Default Paragraph Font"/>
    <w:semiHidden/>
    <w:unhideWhenUsed/>
  </w:style>
  <w:style w:type="table" w:default="1" w:styleId="Table">
    <w:name w:val="Table"/>
    <w:basedOn w:val="TableNormal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initionTerm">
    <w:name w:val="Definition Term"/>
    <w:basedOn w:val="Normal"/>
    <w:next w:val="Definition"/>
    <w:pPr>
      <w:keepNext/>
      <w:keepLines/>
      <w:spacing w:after="0"/>
    </w:pPr>
    <w:rPr>
      <w:b/>
    </w:rPr>
  </w:style>
  <w:style w:type="paragraph" w:customStyle="1" w:styleId="Definition">
    <w:name w:val="Definition"/>
    <w:basedOn w:val="Normal"/>
  </w:style>
  <w:style w:type="paragraph" w:styleId="Caption">
    <w:name w:val="Caption"/>
    <w:basedOn w:val="Normal"/>
    <w:link w:val="BodyTextChar"/>
    <w:pPr>
      <w:spacing w:before="0" w:after="120"/>
    </w:pPr>
    <w:rPr>
      <w:i/>
    </w:rPr>
  </w:style>
  <w:style w:type="paragraph" w:customStyle="1" w:styleId="TableCaption">
    <w:name w:val="Table Caption"/>
    <w:basedOn w:val="Caption"/>
    <w:pPr>
      <w:keepNext/>
    </w:pPr>
  </w:style>
  <w:style w:type="paragraph" w:customStyle="1" w:styleId="ImageCaption">
    <w:name w:val="Image Caption"/>
    <w:basedOn w:val="Caption"/>
  </w:style>
  <w:style w:type="paragraph" w:customStyle="1" w:styleId="Figure">
    <w:name w:val="Figure"/>
    <w:basedOn w:val="Normal"/>
  </w:style>
  <w:style w:type="paragraph" w:customStyle="1" w:styleId="CaptionedFigure">
    <w:name w:val="Captioned Figure"/>
    <w:basedOn w:val="Figure"/>
    <w:pPr>
      <w:keepNext/>
    </w:pPr>
  </w:style>
  <w:style w:type="character" w:customStyle="1" w:styleId="BodyTextChar">
    <w:name w:val="Body Text Char"/>
    <w:basedOn w:val="DefaultParagraphFont"/>
    <w:link w:val="BodyText"/>
  </w:style>
  <w:style w:type="character" w:customStyle="1" w:styleId="VerbatimChar">
    <w:name w:val="Verbatim Char"/>
    <w:basedOn w:val="BodyTextChar"/>
    <w:rPr>
      <w:rFonts w:ascii="Consolas" w:hAnsi="Consolas"/>
      <w:sz w:val="22"/>
    </w:rPr>
  </w:style>
  <w:style w:type="character" w:styleId="FootnoteReference">
    <w:name w:val="Footnote Reference"/>
    <w:basedOn w:val="BodyTextChar"/>
    <w:rPr>
      <w:vertAlign w:val="superscript"/>
    </w:rPr>
  </w:style>
  <w:style w:type="character" w:styleId="Hyperlink">
    <w:name w:val="Hyperlink"/>
    <w:basedOn w:val="BodyTextChar"/>
    <w:rPr>
      <w:color w:val="4F81BD" w:themeColor="accent1"/>
    </w:rPr>
  </w:style>
  <w:style w:type="paragraph" w:styleId="TOCHeading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</w:rPr>
  </w:style>
  <w:style w:type="paragraph" w:customStyle="1" w:styleId="SourceCode">
    <w:name w:val="Source Code"/>
    <w:basedOn w:val="Normal"/>
    <w:link w:val="VerbatimChar"/>
    <w:pPr>
      <w:wordWrap w:val="off"/>
    </w:pPr>
  </w:style>
  <w:style w:type="character" w:customStyle="1" w:styleId="KeywordTok">
    <w:name w:val="KeywordTok"/>
    <w:basedOn w:val="VerbatimChar"/>
    <w:rPr>
      <w:color w:val="007020"/>
      <w:b/>
    </w:rPr>
  </w:style>
  <w:style w:type="character" w:customStyle="1" w:styleId="DataTypeTok">
    <w:name w:val="DataTypeTok"/>
    <w:basedOn w:val="VerbatimChar"/>
    <w:rPr>
      <w:color w:val="902000"/>
    </w:rPr>
  </w:style>
  <w:style w:type="character" w:customStyle="1" w:styleId="DecValTok">
    <w:name w:val="DecValTok"/>
    <w:basedOn w:val="VerbatimChar"/>
    <w:rPr>
      <w:color w:val="40a070"/>
    </w:rPr>
  </w:style>
  <w:style w:type="character" w:customStyle="1" w:styleId="BaseNTok">
    <w:name w:val="BaseNTok"/>
    <w:basedOn w:val="VerbatimChar"/>
    <w:rPr>
      <w:color w:val="40a070"/>
    </w:rPr>
  </w:style>
  <w:style w:type="character" w:customStyle="1" w:styleId="FloatTok">
    <w:name w:val="FloatTok"/>
    <w:basedOn w:val="VerbatimChar"/>
    <w:rPr>
      <w:color w:val="40a070"/>
    </w:rPr>
  </w:style>
  <w:style w:type="character" w:customStyle="1" w:styleId="ConstantTok">
    <w:name w:val="ConstantTok"/>
    <w:basedOn w:val="VerbatimChar"/>
    <w:rPr>
      <w:color w:val="880000"/>
    </w:rPr>
  </w:style>
  <w:style w:type="character" w:customStyle="1" w:styleId="CharTok">
    <w:name w:val="CharTok"/>
    <w:basedOn w:val="VerbatimChar"/>
    <w:rPr>
      <w:color w:val="4070a0"/>
    </w:rPr>
  </w:style>
  <w:style w:type="character" w:customStyle="1" w:styleId="SpecialCharTok">
    <w:name w:val="SpecialCharTok"/>
    <w:basedOn w:val="VerbatimChar"/>
    <w:rPr>
      <w:color w:val="4070a0"/>
    </w:rPr>
  </w:style>
  <w:style w:type="character" w:customStyle="1" w:styleId="StringTok">
    <w:name w:val="StringTok"/>
    <w:basedOn w:val="VerbatimChar"/>
    <w:rPr>
      <w:color w:val="4070a0"/>
    </w:rPr>
  </w:style>
  <w:style w:type="character" w:customStyle="1" w:styleId="VerbatimStringTok">
    <w:name w:val="VerbatimStringTok"/>
    <w:basedOn w:val="VerbatimChar"/>
    <w:rPr>
      <w:color w:val="4070a0"/>
    </w:rPr>
  </w:style>
  <w:style w:type="character" w:customStyle="1" w:styleId="SpecialStringTok">
    <w:name w:val="SpecialStringTok"/>
    <w:basedOn w:val="VerbatimChar"/>
    <w:rPr>
      <w:color w:val="bb6688"/>
    </w:rPr>
  </w:style>
  <w:style w:type="character" w:customStyle="1" w:styleId="ImportTok">
    <w:name w:val="ImportTok"/>
    <w:basedOn w:val="VerbatimChar"/>
    <w:rPr/>
  </w:style>
  <w:style w:type="character" w:customStyle="1" w:styleId="CommentTok">
    <w:name w:val="CommentTok"/>
    <w:basedOn w:val="VerbatimChar"/>
    <w:rPr>
      <w:color w:val="60a0b0"/>
      <w:i/>
    </w:rPr>
  </w:style>
  <w:style w:type="character" w:customStyle="1" w:styleId="DocumentationTok">
    <w:name w:val="DocumentationTok"/>
    <w:basedOn w:val="VerbatimChar"/>
    <w:rPr>
      <w:color w:val="ba2121"/>
      <w:i/>
    </w:rPr>
  </w:style>
  <w:style w:type="character" w:customStyle="1" w:styleId="AnnotationTok">
    <w:name w:val="AnnotationTok"/>
    <w:basedOn w:val="VerbatimChar"/>
    <w:rPr>
      <w:color w:val="60a0b0"/>
      <w:b/>
      <w:i/>
    </w:rPr>
  </w:style>
  <w:style w:type="character" w:customStyle="1" w:styleId="CommentVarTok">
    <w:name w:val="CommentVarTok"/>
    <w:basedOn w:val="VerbatimChar"/>
    <w:rPr>
      <w:color w:val="60a0b0"/>
      <w:b/>
      <w:i/>
    </w:rPr>
  </w:style>
  <w:style w:type="character" w:customStyle="1" w:styleId="OtherTok">
    <w:name w:val="OtherTok"/>
    <w:basedOn w:val="VerbatimChar"/>
    <w:rPr>
      <w:color w:val="007020"/>
    </w:rPr>
  </w:style>
  <w:style w:type="character" w:customStyle="1" w:styleId="FunctionTok">
    <w:name w:val="FunctionTok"/>
    <w:basedOn w:val="VerbatimChar"/>
    <w:rPr>
      <w:color w:val="06287e"/>
    </w:rPr>
  </w:style>
  <w:style w:type="character" w:customStyle="1" w:styleId="VariableTok">
    <w:name w:val="VariableTok"/>
    <w:basedOn w:val="VerbatimChar"/>
    <w:rPr>
      <w:color w:val="19177c"/>
    </w:rPr>
  </w:style>
  <w:style w:type="character" w:customStyle="1" w:styleId="ControlFlowTok">
    <w:name w:val="ControlFlowTok"/>
    <w:basedOn w:val="VerbatimChar"/>
    <w:rPr>
      <w:color w:val="007020"/>
      <w:b/>
    </w:rPr>
  </w:style>
  <w:style w:type="character" w:customStyle="1" w:styleId="OperatorTok">
    <w:name w:val="OperatorTok"/>
    <w:basedOn w:val="VerbatimChar"/>
    <w:rPr>
      <w:color w:val="666666"/>
    </w:rPr>
  </w:style>
  <w:style w:type="character" w:customStyle="1" w:styleId="BuiltInTok">
    <w:name w:val="BuiltInTok"/>
    <w:basedOn w:val="VerbatimChar"/>
    <w:rPr/>
  </w:style>
  <w:style w:type="character" w:customStyle="1" w:styleId="ExtensionTok">
    <w:name w:val="ExtensionTok"/>
    <w:basedOn w:val="VerbatimChar"/>
    <w:rPr/>
  </w:style>
  <w:style w:type="character" w:customStyle="1" w:styleId="PreprocessorTok">
    <w:name w:val="PreprocessorTok"/>
    <w:basedOn w:val="VerbatimChar"/>
    <w:rPr>
      <w:color w:val="bc7a00"/>
    </w:rPr>
  </w:style>
  <w:style w:type="character" w:customStyle="1" w:styleId="AttributeTok">
    <w:name w:val="AttributeTok"/>
    <w:basedOn w:val="VerbatimChar"/>
    <w:rPr>
      <w:color w:val="7d9029"/>
    </w:rPr>
  </w:style>
  <w:style w:type="character" w:customStyle="1" w:styleId="RegionMarkerTok">
    <w:name w:val="RegionMarkerTok"/>
    <w:basedOn w:val="VerbatimChar"/>
    <w:rPr/>
  </w:style>
  <w:style w:type="character" w:customStyle="1" w:styleId="InformationTok">
    <w:name w:val="InformationTok"/>
    <w:basedOn w:val="VerbatimChar"/>
    <w:rPr>
      <w:color w:val="60a0b0"/>
      <w:b/>
      <w:i/>
    </w:rPr>
  </w:style>
  <w:style w:type="character" w:customStyle="1" w:styleId="WarningTok">
    <w:name w:val="WarningTok"/>
    <w:basedOn w:val="VerbatimChar"/>
    <w:rPr>
      <w:color w:val="60a0b0"/>
      <w:b/>
      <w:i/>
    </w:rPr>
  </w:style>
  <w:style w:type="character" w:customStyle="1" w:styleId="AlertTok">
    <w:name w:val="AlertTok"/>
    <w:basedOn w:val="VerbatimChar"/>
    <w:rPr>
      <w:color w:val="ff0000"/>
      <w:b/>
    </w:rPr>
  </w:style>
  <w:style w:type="character" w:customStyle="1" w:styleId="ErrorTok">
    <w:name w:val="ErrorTok"/>
    <w:basedOn w:val="VerbatimChar"/>
    <w:rPr>
      <w:color w:val="ff0000"/>
      <w:b/>
    </w:rPr>
  </w:style>
  <w:style w:type="character" w:customStyle="1" w:styleId="NormalTok">
    <w:name w:val="NormalTok"/>
    <w:basedOn w:val="VerbatimChar"/>
    <w:rPr/>
  </w:style>
</w:styles>
</file>

<file path=word/webSettings.xml><?xml version="1.0" encoding="utf-8"?>
<ns0:webSettings xmlns:ns0="http://schemas.openxmlformats.org/wordprocessingml/2006/main">
  <ns0:allowPNG/>
  <ns0:doNotSaveAsSingleFile/>
</ns0:webSettings>
</file>

<file path=word/_rels/document.xml.rels><?xml version="1.0" encoding="UTF-8"?>
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Type="http://schemas.openxmlformats.org/officeDocument/2006/relationships/image" Id="rId25" Target="media/rId25.png" /><Relationship Type="http://schemas.openxmlformats.org/officeDocument/2006/relationships/image" Id="rId27" Target="media/rId27.png" /><Relationship Type="http://schemas.openxmlformats.org/officeDocument/2006/relationships/image" Id="rId28" Target="media/rId28.png" /><Relationship Type="http://schemas.openxmlformats.org/officeDocument/2006/relationships/image" Id="rId29" Target="media/rId29.png" /><Relationship Type="http://schemas.openxmlformats.org/officeDocument/2006/relationships/image" Id="rId30" Target="media/rId30.png" /><Relationship Type="http://schemas.openxmlformats.org/officeDocument/2006/relationships/image" Id="rId31" Target="media/rId31.png" /><Relationship Type="http://schemas.openxmlformats.org/officeDocument/2006/relationships/image" Id="rId32" Target="media/rId32.png" /><Relationship Type="http://schemas.openxmlformats.org/officeDocument/2006/relationships/image" Id="rId33" Target="media/rId33.png" /><Relationship Type="http://schemas.openxmlformats.org/officeDocument/2006/relationships/image" Id="rId34" Target="media/rId34.png" /><Relationship Type="http://schemas.openxmlformats.org/officeDocument/2006/relationships/image" Id="rId36" Target="media/rId36.png" /><Relationship Type="http://schemas.openxmlformats.org/officeDocument/2006/relationships/image" Id="rId37" Target="media/rId37.png" /><Relationship Type="http://schemas.openxmlformats.org/officeDocument/2006/relationships/image" Id="rId38" Target="media/rId38.png" /><Relationship Type="http://schemas.openxmlformats.org/officeDocument/2006/relationships/image" Id="rId40" Target="media/rId40.gif" /><Relationship Type="http://schemas.openxmlformats.org/officeDocument/2006/relationships/image" Id="rId42" Target="media/rId42.png" /><Relationship Type="http://schemas.openxmlformats.org/officeDocument/2006/relationships/image" Id="rId43" Target="media/rId43.png" /><Relationship Type="http://schemas.openxmlformats.org/officeDocument/2006/relationships/image" Id="rId44" Target="media/rId44.png" /><Relationship Type="http://schemas.openxmlformats.org/officeDocument/2006/relationships/image" Id="rId45" Target="media/rId45.png" /><Relationship Type="http://schemas.openxmlformats.org/officeDocument/2006/relationships/image" Id="rId46" Target="media/rId46.png" /><Relationship Type="http://schemas.openxmlformats.org/officeDocument/2006/relationships/image" Id="rId47" Target="media/rId47.png" /><Relationship Type="http://schemas.openxmlformats.org/officeDocument/2006/relationships/image" Id="rId48" Target="media/rId48.png" /><Relationship Type="http://schemas.openxmlformats.org/officeDocument/2006/relationships/image" Id="rId49" Target="media/rId49.png" /><Relationship Type="http://schemas.openxmlformats.org/officeDocument/2006/relationships/image" Id="rId51" Target="media/rId51.png" /><Relationship Type="http://schemas.openxmlformats.org/officeDocument/2006/relationships/image" Id="rId52" Target="media/rId52.png" /><Relationship Type="http://schemas.openxmlformats.org/officeDocument/2006/relationships/image" Id="rId53" Target="media/rId53.gif" /><Relationship Type="http://schemas.openxmlformats.org/officeDocument/2006/relationships/image" Id="rId67" Target="media/rId67.png" /><Relationship Type="http://schemas.openxmlformats.org/officeDocument/2006/relationships/image" Id="rId68" Target="media/rId68.png" /><Relationship Type="http://schemas.openxmlformats.org/officeDocument/2006/relationships/image" Id="rId69" Target="media/rId69.png" /><Relationship Type="http://schemas.openxmlformats.org/officeDocument/2006/relationships/image" Id="rId70" Target="media/rId70.png" /><Relationship Type="http://schemas.openxmlformats.org/officeDocument/2006/relationships/image" Id="rId72" Target="media/rId72.png" /><Relationship Type="http://schemas.openxmlformats.org/officeDocument/2006/relationships/image" Id="rId74" Target="media/rId74.png" /><Relationship Type="http://schemas.openxmlformats.org/officeDocument/2006/relationships/image" Id="rId76" Target="media/rId76.png" /><Relationship Type="http://schemas.openxmlformats.org/officeDocument/2006/relationships/image" Id="rId77" Target="media/rId77.png" /><Relationship Type="http://schemas.openxmlformats.org/officeDocument/2006/relationships/image" Id="rId78" Target="media/rId78.png" /><Relationship Type="http://schemas.openxmlformats.org/officeDocument/2006/relationships/image" Id="rId80" Target="media/rId80.png" /><Relationship Type="http://schemas.openxmlformats.org/officeDocument/2006/relationships/image" Id="rId81" Target="media/rId81.png" /><Relationship Type="http://schemas.openxmlformats.org/officeDocument/2006/relationships/image" Id="rId83" Target="media/rId83.png" /><Relationship Type="http://schemas.openxmlformats.org/officeDocument/2006/relationships/image" Id="rId84" Target="media/rId84.png" /><Relationship Type="http://schemas.openxmlformats.org/officeDocument/2006/relationships/image" Id="rId85" Target="media/rId85.png" /><Relationship Type="http://schemas.openxmlformats.org/officeDocument/2006/relationships/image" Id="rId87" Target="media/rId87.png" /><Relationship Type="http://schemas.openxmlformats.org/officeDocument/2006/relationships/image" Id="rId88" Target="media/rId88.png" /><Relationship Type="http://schemas.openxmlformats.org/officeDocument/2006/relationships/image" Id="rId89" Target="media/rId89.png" /><Relationship Type="http://schemas.openxmlformats.org/officeDocument/2006/relationships/image" Id="rId91" Target="media/rId91.png" /><Relationship Type="http://schemas.openxmlformats.org/officeDocument/2006/relationships/image" Id="rId92" Target="media/rId92.png" /><Relationship Type="http://schemas.openxmlformats.org/officeDocument/2006/relationships/image" Id="rId94" Target="media/rId94.png" /><Relationship Type="http://schemas.openxmlformats.org/officeDocument/2006/relationships/image" Id="rId95" Target="media/rId95.png" /><Relationship Type="http://schemas.openxmlformats.org/officeDocument/2006/relationships/image" Id="rId97" Target="media/rId97.png" /><Relationship Type="http://schemas.openxmlformats.org/officeDocument/2006/relationships/image" Id="rId98" Target="media/rId98.png" /><Relationship Type="http://schemas.openxmlformats.org/officeDocument/2006/relationships/image" Id="rId99" Target="media/rId99.png" /><Relationship Type="http://schemas.openxmlformats.org/officeDocument/2006/relationships/image" Id="rId100" Target="media/rId100.png" /><Relationship Type="http://schemas.openxmlformats.org/officeDocument/2006/relationships/image" Id="rId103" Target="media/rId103.png" /><Relationship Type="http://schemas.openxmlformats.org/officeDocument/2006/relationships/image" Id="rId104" Target="media/rId104.png" /><Relationship Type="http://schemas.openxmlformats.org/officeDocument/2006/relationships/image" Id="rId105" Target="media/rId105.png" /><Relationship Type="http://schemas.openxmlformats.org/officeDocument/2006/relationships/image" Id="rId106" Target="media/rId106.png" /><Relationship Type="http://schemas.openxmlformats.org/officeDocument/2006/relationships/image" Id="rId107" Target="media/rId107.png" /><Relationship Type="http://schemas.openxmlformats.org/officeDocument/2006/relationships/image" Id="rId108" Target="media/rId108.png" /><Relationship Type="http://schemas.openxmlformats.org/officeDocument/2006/relationships/image" Id="rId109" Target="media/rId109.png" /><Relationship Type="http://schemas.openxmlformats.org/officeDocument/2006/relationships/image" Id="rId110" Target="media/rId110.png" /><Relationship Type="http://schemas.openxmlformats.org/officeDocument/2006/relationships/image" Id="rId111" Target="media/rId111.png" /><Relationship Type="http://schemas.openxmlformats.org/officeDocument/2006/relationships/image" Id="rId112" Target="media/rId112.png" /><Relationship Type="http://schemas.openxmlformats.org/officeDocument/2006/relationships/image" Id="rId113" Target="media/rId113.png" /><Relationship Type="http://schemas.openxmlformats.org/officeDocument/2006/relationships/image" Id="rId114" Target="media/rId114.png" /><Relationship Type="http://schemas.openxmlformats.org/officeDocument/2006/relationships/image" Id="rId115" Target="media/rId115.png" /><Relationship Type="http://schemas.openxmlformats.org/officeDocument/2006/relationships/image" Id="rId116" Target="media/rId116.gif" /><Relationship Type="http://schemas.openxmlformats.org/officeDocument/2006/relationships/image" Id="rId118" Target="media/rId118.png" /><Relationship Type="http://schemas.openxmlformats.org/officeDocument/2006/relationships/image" Id="rId119" Target="media/rId119.png" /><Relationship Type="http://schemas.openxmlformats.org/officeDocument/2006/relationships/image" Id="rId120" Target="media/rId120.png" /><Relationship Type="http://schemas.openxmlformats.org/officeDocument/2006/relationships/image" Id="rId121" Target="media/rId121.png" /><Relationship Type="http://schemas.openxmlformats.org/officeDocument/2006/relationships/image" Id="rId122" Target="media/rId122.gif" /><Relationship Type="http://schemas.openxmlformats.org/officeDocument/2006/relationships/hyperlink" Id="rId59" Target="../020_forms_object/060_setting_display_type/" TargetMode="External" /><Relationship Type="http://schemas.openxmlformats.org/officeDocument/2006/relationships/hyperlink" Id="rId55" Target="../020_forms_object/060_setting_display_type/010_registry.md" TargetMode="External" /><Relationship Type="http://schemas.openxmlformats.org/officeDocument/2006/relationships/hyperlink" Id="rId56" Target="../020_forms_object/060_setting_display_type/020_canban.md" TargetMode="External" /><Relationship Type="http://schemas.openxmlformats.org/officeDocument/2006/relationships/hyperlink" Id="rId57" Target="../020_forms_object/060_setting_display_type/030_calendar.md" TargetMode="External" /><Relationship Type="http://schemas.openxmlformats.org/officeDocument/2006/relationships/hyperlink" Id="rId58" Target="../020_forms_object/060_setting_display_type/040_map.md" TargetMode="External" /><Relationship Type="http://schemas.openxmlformats.org/officeDocument/2006/relationships/hyperlink" Id="rId21" Target="010_workWithField/010_addField.md" TargetMode="External" /><Relationship Type="http://schemas.openxmlformats.org/officeDocument/2006/relationships/hyperlink" Id="rId22" Target="010_workWithField/020_deleteField.md" TargetMode="External" /><Relationship Type="http://schemas.openxmlformats.org/officeDocument/2006/relationships/hyperlink" Id="rId23" Target="010_workWithField/030_advancedSettingField.md" TargetMode="External" /><Relationship Type="http://schemas.openxmlformats.org/officeDocument/2006/relationships/hyperlink" Id="rId61" Target="070_context_menu/020_types_context_menu/010_printed_forms.md" TargetMode="External" /><Relationship Type="http://schemas.openxmlformats.org/officeDocument/2006/relationships/hyperlink" Id="rId62" Target="070_context_menu/020_types_context_menu/020_members.md" TargetMode="External" /><Relationship Type="http://schemas.openxmlformats.org/officeDocument/2006/relationships/hyperlink" Id="rId63" Target="070_context_menu/020_types_context_menu/030_chat.md" TargetMode="External" /><Relationship Type="http://schemas.openxmlformats.org/officeDocument/2006/relationships/hyperlink" Id="rId64" Target="070_context_menu/020_types_context_menu/040_documents.md" TargetMode="External" /><Relationship Type="http://schemas.openxmlformats.org/officeDocument/2006/relationships/hyperlink" Id="rId65" Target="070_context_menu/020_types_context_menu/050_history.md" TargetMode="External" /></Relationships>
</file>

<file path=word/_rels/footnotes.xml.rels><?xml version="1.0" encoding="UTF-8"?>
<Relationships xmlns="http://schemas.openxmlformats.org/package/2006/relationships"><Relationship Type="http://schemas.openxmlformats.org/officeDocument/2006/relationships/hyperlink" Id="rId59" Target="../020_forms_object/060_setting_display_type/" TargetMode="External" /><Relationship Type="http://schemas.openxmlformats.org/officeDocument/2006/relationships/hyperlink" Id="rId55" Target="../020_forms_object/060_setting_display_type/010_registry.md" TargetMode="External" /><Relationship Type="http://schemas.openxmlformats.org/officeDocument/2006/relationships/hyperlink" Id="rId56" Target="../020_forms_object/060_setting_display_type/020_canban.md" TargetMode="External" /><Relationship Type="http://schemas.openxmlformats.org/officeDocument/2006/relationships/hyperlink" Id="rId57" Target="../020_forms_object/060_setting_display_type/030_calendar.md" TargetMode="External" /><Relationship Type="http://schemas.openxmlformats.org/officeDocument/2006/relationships/hyperlink" Id="rId58" Target="../020_forms_object/060_setting_display_type/040_map.md" TargetMode="External" /><Relationship Type="http://schemas.openxmlformats.org/officeDocument/2006/relationships/hyperlink" Id="rId21" Target="010_workWithField/010_addField.md" TargetMode="External" /><Relationship Type="http://schemas.openxmlformats.org/officeDocument/2006/relationships/hyperlink" Id="rId22" Target="010_workWithField/020_deleteField.md" TargetMode="External" /><Relationship Type="http://schemas.openxmlformats.org/officeDocument/2006/relationships/hyperlink" Id="rId23" Target="010_workWithField/030_advancedSettingField.md" TargetMode="External" /><Relationship Type="http://schemas.openxmlformats.org/officeDocument/2006/relationships/hyperlink" Id="rId61" Target="070_context_menu/020_types_context_menu/010_printed_forms.md" TargetMode="External" /><Relationship Type="http://schemas.openxmlformats.org/officeDocument/2006/relationships/hyperlink" Id="rId62" Target="070_context_menu/020_types_context_menu/020_members.md" TargetMode="External" /><Relationship Type="http://schemas.openxmlformats.org/officeDocument/2006/relationships/hyperlink" Id="rId63" Target="070_context_menu/020_types_context_menu/030_chat.md" TargetMode="External" /><Relationship Type="http://schemas.openxmlformats.org/officeDocument/2006/relationships/hyperlink" Id="rId64" Target="070_context_menu/020_types_context_menu/040_documents.md" TargetMode="External" /><Relationship Type="http://schemas.openxmlformats.org/officeDocument/2006/relationships/hyperlink" Id="rId65" Target="070_context_menu/020_types_context_menu/050_history.md" TargetMode="Externa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Words>83</Words>
  <SharedDoc>false</SharedDoc>
  <HyperlinksChanged>false</HyperlinksChanged>
  <Lines>12</Lines>
  <AppVersion>12.0000</AppVersion>
  <LinksUpToDate>false</LinksUpToDate>
  <Application>Microsoft Word 12.0.0</Application>
  <CharactersWithSpaces>583</CharactersWithSpaces>
  <Template>Normal.dotm</Template>
  <DocSecurity>0</DocSecurity>
  <TotalTime>6</TotalTime>
  <ScaleCrop>false</ScaleCrop>
  <Characters>475</Characters>
  <Paragraphs>8</Paragraphs>
  <Pages>1</Page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2024-09-08T02:09:36Z</dcterms:created>
  <dcterms:modified xsi:type="dcterms:W3CDTF">2024-09-08T02:09:36Z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