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88.png" ContentType="image/png"/>
  <Override PartName="/word/media/rId190.png" ContentType="image/png"/>
  <Override PartName="/word/media/rId191.png" ContentType="image/png"/>
  <Override PartName="/word/media/rId193.png" ContentType="image/png"/>
  <Override PartName="/word/media/rId195.png" ContentType="image/png"/>
  <Override PartName="/word/media/rId197.png" ContentType="image/png"/>
  <Override PartName="/word/media/rId19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in-migration-start"/>
      <w:r>
        <w:t xml:space="preserve">IN Migration Start</w:t>
      </w:r>
      <w:bookmarkEnd w:id="151"/>
    </w:p>
    <w:p>
      <w:pPr>
        <w:pStyle w:val="Heading2"/>
      </w:pPr>
      <w:bookmarkStart w:id="152" w:name="самое-начало-2"/>
      <w:r>
        <w:t xml:space="preserve">Самое начало</w:t>
      </w:r>
      <w:bookmarkEnd w:id="152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53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53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54" w:name="X72be67cfad1808b6d9c9453fd0aad494e2ac59b"/>
      <w:r>
        <w:t xml:space="preserve">Чтобы миграция запускалась нужно в конфиге</w:t>
      </w:r>
      <w:bookmarkEnd w:id="154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55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55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56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56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57" w:name="загрузка-тестовых-данных-в-in_таблицы"/>
      <w:r>
        <w:t xml:space="preserve">Загрузка тестовых данных в in_таблицы</w:t>
      </w:r>
      <w:bookmarkEnd w:id="157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58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58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59" w:name="есть-2-метода-запустить-миграцию"/>
      <w:r>
        <w:t xml:space="preserve">Есть 2 метода запустить миграцию</w:t>
      </w:r>
      <w:bookmarkEnd w:id="159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09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09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60" w:name="конфиги-нужные-для-миграции"/>
      <w:r>
        <w:t xml:space="preserve">Конфиги нужные для миграции:</w:t>
      </w:r>
      <w:bookmarkEnd w:id="160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61" w:name="классы-где-смотреть-код"/>
      <w:r>
        <w:t xml:space="preserve">Классы, где смотреть код:</w:t>
      </w:r>
      <w:bookmarkEnd w:id="161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62" w:name="in-migration-process"/>
      <w:r>
        <w:t xml:space="preserve">IN Migration Process</w:t>
      </w:r>
      <w:bookmarkEnd w:id="162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63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63"/>
    </w:p>
    <w:p>
      <w:pPr>
        <w:pStyle w:val="Compact"/>
        <w:numPr>
          <w:numId w:val="1010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0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0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1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1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64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64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65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65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66" w:name="дополнительные-замечания."/>
      <w:r>
        <w:t xml:space="preserve">Дополнительные замечания.</w:t>
      </w:r>
      <w:bookmarkEnd w:id="166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67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67"/>
    </w:p>
    <w:p>
      <w:pPr>
        <w:pStyle w:val="Heading2"/>
      </w:pPr>
      <w:bookmarkStart w:id="168" w:name="где-смотреть-логи"/>
      <w:r>
        <w:t xml:space="preserve">Где смотреть логи</w:t>
      </w:r>
      <w:bookmarkEnd w:id="168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69" w:name="где-смотреть-трэйсы"/>
      <w:r>
        <w:t xml:space="preserve">Где смотреть трэйсы</w:t>
      </w:r>
      <w:bookmarkEnd w:id="169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70" w:name="X51b5b304150c68386e112fae07477ea8046a5e9"/>
      <w:r>
        <w:t xml:space="preserve">Информативные таблицы миграции в базе aux1</w:t>
      </w:r>
      <w:bookmarkEnd w:id="170"/>
    </w:p>
    <w:p>
      <w:pPr>
        <w:pStyle w:val="Heading3"/>
      </w:pPr>
      <w:bookmarkStart w:id="171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71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72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72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73" w:name="in_migration.errors"/>
      <w:r>
        <w:t xml:space="preserve">3. in_migration.errors</w:t>
      </w:r>
      <w:bookmarkEnd w:id="173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74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74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175" w:name="in_migration.log"/>
      <w:r>
        <w:t xml:space="preserve">5. in_migration.log</w:t>
      </w:r>
      <w:bookmarkEnd w:id="175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176" w:name="in_migration.timings"/>
      <w:r>
        <w:t xml:space="preserve">6. in_migration.timings</w:t>
      </w:r>
      <w:bookmarkEnd w:id="176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177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178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178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179" w:name="ускорение-входящей-миграции"/>
      <w:r>
        <w:t xml:space="preserve">Ускорение входящей миграции</w:t>
      </w:r>
      <w:bookmarkEnd w:id="179"/>
    </w:p>
    <w:p>
      <w:pPr>
        <w:pStyle w:val="Heading2"/>
      </w:pPr>
      <w:bookmarkStart w:id="180" w:name="введение"/>
      <w:r>
        <w:t xml:space="preserve">Введение</w:t>
      </w:r>
      <w:bookmarkEnd w:id="180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181" w:name="предварительные-требования"/>
      <w:r>
        <w:t xml:space="preserve">Предварительные требования</w:t>
      </w:r>
      <w:bookmarkEnd w:id="181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2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2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3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182" w:name="основная-часть"/>
      <w:r>
        <w:t xml:space="preserve">Основная часть</w:t>
      </w:r>
      <w:bookmarkEnd w:id="182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4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183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4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4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4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184" w:name="правила-по-установке-консьюмеров"/>
      <w:r>
        <w:t xml:space="preserve">Правила по установке консьюмеров</w:t>
      </w:r>
      <w:bookmarkEnd w:id="184"/>
    </w:p>
    <w:p>
      <w:pPr>
        <w:pStyle w:val="Compact"/>
        <w:numPr>
          <w:numId w:val="1015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5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5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5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16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16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16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185" w:name="дополнительные-способы"/>
      <w:r>
        <w:t xml:space="preserve">Дополнительные способы</w:t>
      </w:r>
      <w:bookmarkEnd w:id="185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186" w:name="дополнительная-информация"/>
      <w:r>
        <w:t xml:space="preserve">Дополнительная информация</w:t>
      </w:r>
      <w:bookmarkEnd w:id="186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187" w:name="настройка-миграции-на-платформе-mybpm"/>
      <w:r>
        <w:t xml:space="preserve">Настройка миграции на платформе MyBPM</w:t>
      </w:r>
      <w:bookmarkEnd w:id="187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17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17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189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189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192" w:name="пример-с-вложенным-бо"/>
      <w:r>
        <w:t xml:space="preserve">Пример с вложенным БО</w:t>
      </w:r>
      <w:bookmarkEnd w:id="192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194" w:name="пример-с-вложенным-композитным-объектом"/>
      <w:r>
        <w:t xml:space="preserve">Пример с вложенным Композитным объектом</w:t>
      </w:r>
      <w:bookmarkEnd w:id="194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196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196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18"/>
          <w:ilvl w:val="0"/>
        </w:numPr>
      </w:pPr>
      <w:r>
        <w:t xml:space="preserve">приставки out;</w:t>
      </w:r>
    </w:p>
    <w:p>
      <w:pPr>
        <w:pStyle w:val="Compact"/>
        <w:numPr>
          <w:numId w:val="1018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18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18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199" w:name="системные-поля"/>
      <w:r>
        <w:t xml:space="preserve">Системные поля</w:t>
      </w:r>
      <w:bookmarkEnd w:id="199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19"/>
          <w:ilvl w:val="0"/>
        </w:numPr>
      </w:pPr>
      <w:r>
        <w:t xml:space="preserve">id bigserial primary key,</w:t>
      </w:r>
    </w:p>
    <w:p>
      <w:pPr>
        <w:pStyle w:val="Compact"/>
        <w:numPr>
          <w:numId w:val="1019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19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19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19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19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00" w:name="как-настроить-out-миграцию-для-старта"/>
      <w:r>
        <w:t xml:space="preserve">Как настроить OUT миграцию для старта</w:t>
      </w:r>
      <w:bookmarkEnd w:id="200"/>
    </w:p>
    <w:p>
      <w:pPr>
        <w:pStyle w:val="Heading2"/>
      </w:pPr>
      <w:bookmarkStart w:id="201" w:name="самое-начало-3"/>
      <w:r>
        <w:t xml:space="preserve">Самое начало</w:t>
      </w:r>
      <w:bookmarkEnd w:id="201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02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02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03" w:name="Xc9aff796ec5f9c8ed4a1e713a05534dfc5871d6"/>
      <w:r>
        <w:t xml:space="preserve">Чтобы миграция запускалась нужно в конфиге</w:t>
      </w:r>
      <w:bookmarkEnd w:id="203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04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04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05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05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06" w:name="конфиги-нужные-для-миграции-1"/>
      <w:r>
        <w:t xml:space="preserve">Конфиги нужные для миграции:</w:t>
      </w:r>
      <w:bookmarkEnd w:id="206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07" w:name="классы-где-смотреть-код-1"/>
      <w:r>
        <w:t xml:space="preserve">Классы, где смотреть код:</w:t>
      </w:r>
      <w:bookmarkEnd w:id="207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08" w:name="процесс-out-миграции"/>
      <w:r>
        <w:t xml:space="preserve">Процесс OUT миграции</w:t>
      </w:r>
      <w:bookmarkEnd w:id="208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0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0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88" Target="media/rId188.png" /><Relationship Type="http://schemas.openxmlformats.org/officeDocument/2006/relationships/image" Id="rId190" Target="media/rId190.png" /><Relationship Type="http://schemas.openxmlformats.org/officeDocument/2006/relationships/image" Id="rId191" Target="media/rId191.png" /><Relationship Type="http://schemas.openxmlformats.org/officeDocument/2006/relationships/image" Id="rId193" Target="media/rId193.png" /><Relationship Type="http://schemas.openxmlformats.org/officeDocument/2006/relationships/image" Id="rId195" Target="media/rId195.png" /><Relationship Type="http://schemas.openxmlformats.org/officeDocument/2006/relationships/image" Id="rId197" Target="media/rId197.png" /><Relationship Type="http://schemas.openxmlformats.org/officeDocument/2006/relationships/image" Id="rId198" Target="media/rId198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183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183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2024-09-19T01:15:32Z</dcterms:created>
  <dcterms:modified xsi:type="dcterms:W3CDTF">2024-09-19T01:15:32Z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